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FBB683">
      <w:pPr>
        <w:widowControl/>
        <w:spacing w:after="240"/>
        <w:jc w:val="center"/>
        <w:rPr>
          <w:rFonts w:hint="eastAsia" w:ascii="方正小标宋简体" w:hAnsi="方正小标宋简体" w:eastAsia="方正小标宋简体" w:cs="方正小标宋简体"/>
          <w:kern w:val="0"/>
          <w:sz w:val="44"/>
          <w:szCs w:val="44"/>
          <w:lang w:val="en-GB" w:bidi="ar"/>
        </w:rPr>
      </w:pPr>
      <w:r>
        <w:rPr>
          <w:rFonts w:hint="eastAsia" w:ascii="方正小标宋简体" w:hAnsi="方正小标宋简体" w:eastAsia="方正小标宋简体" w:cs="方正小标宋简体"/>
          <w:kern w:val="0"/>
          <w:sz w:val="44"/>
          <w:szCs w:val="44"/>
          <w:lang w:val="en-GB" w:bidi="ar"/>
        </w:rPr>
        <w:t>经营者集中简易案件公示表</w:t>
      </w:r>
    </w:p>
    <w:tbl>
      <w:tblPr>
        <w:tblStyle w:val="3"/>
        <w:tblW w:w="9640" w:type="dxa"/>
        <w:tblInd w:w="-1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476"/>
        <w:gridCol w:w="6224"/>
      </w:tblGrid>
      <w:tr w14:paraId="58277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trPr>
        <w:tc>
          <w:tcPr>
            <w:tcW w:w="1940" w:type="dxa"/>
            <w:shd w:val="clear" w:color="auto" w:fill="D9D9D9"/>
            <w:vAlign w:val="center"/>
          </w:tcPr>
          <w:p w14:paraId="3EC8695B">
            <w:pPr>
              <w:pStyle w:val="2"/>
              <w:widowControl/>
              <w:adjustRightInd w:val="0"/>
              <w:snapToGrid w:val="0"/>
              <w:spacing w:after="0"/>
              <w:jc w:val="center"/>
              <w:rPr>
                <w:bCs/>
                <w:color w:val="000000"/>
                <w:sz w:val="24"/>
              </w:rPr>
            </w:pPr>
            <w:r>
              <w:rPr>
                <w:bCs/>
                <w:color w:val="000000"/>
                <w:sz w:val="24"/>
              </w:rPr>
              <w:t>案件名称</w:t>
            </w:r>
          </w:p>
        </w:tc>
        <w:tc>
          <w:tcPr>
            <w:tcW w:w="7700" w:type="dxa"/>
            <w:gridSpan w:val="2"/>
            <w:vAlign w:val="center"/>
          </w:tcPr>
          <w:p w14:paraId="1127F4AB">
            <w:pPr>
              <w:widowControl/>
              <w:adjustRightInd w:val="0"/>
              <w:snapToGrid w:val="0"/>
              <w:rPr>
                <w:bCs/>
                <w:color w:val="000000"/>
                <w:sz w:val="24"/>
              </w:rPr>
            </w:pPr>
            <w:r>
              <w:rPr>
                <w:rFonts w:hint="eastAsia"/>
                <w:sz w:val="24"/>
              </w:rPr>
              <w:t>广州白云建科控股集团有限公司收购广州白云高速陆港有限公司股权案</w:t>
            </w:r>
          </w:p>
        </w:tc>
      </w:tr>
      <w:tr w14:paraId="1EF3C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1" w:hRule="atLeast"/>
        </w:trPr>
        <w:tc>
          <w:tcPr>
            <w:tcW w:w="1940" w:type="dxa"/>
            <w:shd w:val="clear" w:color="auto" w:fill="D9D9D9"/>
            <w:vAlign w:val="center"/>
          </w:tcPr>
          <w:p w14:paraId="7760F502">
            <w:pPr>
              <w:pStyle w:val="2"/>
              <w:widowControl/>
              <w:adjustRightInd w:val="0"/>
              <w:snapToGrid w:val="0"/>
              <w:spacing w:after="0"/>
              <w:jc w:val="center"/>
              <w:rPr>
                <w:bCs/>
                <w:color w:val="000000"/>
                <w:sz w:val="24"/>
              </w:rPr>
            </w:pPr>
            <w:r>
              <w:rPr>
                <w:bCs/>
                <w:color w:val="000000"/>
                <w:sz w:val="24"/>
              </w:rPr>
              <w:t>交易概况（限200字内）</w:t>
            </w:r>
          </w:p>
        </w:tc>
        <w:tc>
          <w:tcPr>
            <w:tcW w:w="7700" w:type="dxa"/>
            <w:gridSpan w:val="2"/>
            <w:vAlign w:val="center"/>
          </w:tcPr>
          <w:p w14:paraId="1461A998">
            <w:pPr>
              <w:widowControl/>
              <w:adjustRightInd w:val="0"/>
              <w:snapToGrid w:val="0"/>
              <w:rPr>
                <w:sz w:val="24"/>
              </w:rPr>
            </w:pPr>
            <w:r>
              <w:rPr>
                <w:rFonts w:hint="eastAsia"/>
                <w:sz w:val="24"/>
              </w:rPr>
              <w:t>广州白云建科控股集团有限公司（“白云建科”）与广州白云产业投资集团有限公司（“白云投资”）签署协议，白云投资将持有的广州白云高速陆港有限公司（“白云陆港”）49％股权无偿划转给白云建科。白云陆港主要从事通用仓库的开发和租赁业务。交易前，CLF III HK 13 Limited（“GLP”）和白云投资分别持有白云陆港51%和49%的股权，共同控制白云陆港。交易后，GLP、白云建科将分别持有白云陆港51%、49%的股权，共同控制白云陆港。</w:t>
            </w:r>
          </w:p>
        </w:tc>
      </w:tr>
      <w:tr w14:paraId="32D2D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restart"/>
            <w:shd w:val="clear" w:color="auto" w:fill="D9D9D9"/>
            <w:vAlign w:val="center"/>
          </w:tcPr>
          <w:p w14:paraId="13A04247">
            <w:pPr>
              <w:pStyle w:val="2"/>
              <w:widowControl/>
              <w:adjustRightInd w:val="0"/>
              <w:snapToGrid w:val="0"/>
              <w:spacing w:after="0"/>
              <w:jc w:val="center"/>
              <w:rPr>
                <w:bCs/>
                <w:color w:val="000000"/>
                <w:sz w:val="24"/>
              </w:rPr>
            </w:pPr>
            <w:r>
              <w:rPr>
                <w:bCs/>
                <w:color w:val="000000"/>
                <w:sz w:val="24"/>
              </w:rPr>
              <w:t>参与集中的经营者简介（每个限100字内）</w:t>
            </w:r>
          </w:p>
        </w:tc>
        <w:tc>
          <w:tcPr>
            <w:tcW w:w="1476" w:type="dxa"/>
            <w:vAlign w:val="center"/>
          </w:tcPr>
          <w:p w14:paraId="77AF7677">
            <w:pPr>
              <w:pStyle w:val="2"/>
              <w:widowControl/>
              <w:adjustRightInd w:val="0"/>
              <w:snapToGrid w:val="0"/>
              <w:spacing w:after="0"/>
              <w:rPr>
                <w:rFonts w:hint="eastAsia" w:eastAsia="宋体"/>
                <w:bCs/>
                <w:color w:val="000000"/>
                <w:sz w:val="24"/>
                <w:lang w:eastAsia="zh-CN"/>
              </w:rPr>
            </w:pPr>
            <w:r>
              <w:rPr>
                <w:bCs/>
                <w:color w:val="000000"/>
                <w:sz w:val="24"/>
              </w:rPr>
              <w:t>1.</w:t>
            </w:r>
            <w:r>
              <w:rPr>
                <w:rFonts w:hint="eastAsia"/>
                <w:bCs/>
                <w:color w:val="000000"/>
                <w:sz w:val="24"/>
                <w:lang w:eastAsia="zh-CN"/>
              </w:rPr>
              <w:t>白云建科</w:t>
            </w:r>
          </w:p>
        </w:tc>
        <w:tc>
          <w:tcPr>
            <w:tcW w:w="6224" w:type="dxa"/>
            <w:vAlign w:val="center"/>
          </w:tcPr>
          <w:p w14:paraId="770A29A2">
            <w:pPr>
              <w:pStyle w:val="2"/>
              <w:widowControl/>
              <w:adjustRightInd w:val="0"/>
              <w:snapToGrid w:val="0"/>
              <w:spacing w:after="0"/>
              <w:rPr>
                <w:rFonts w:hint="eastAsia"/>
                <w:sz w:val="24"/>
              </w:rPr>
            </w:pPr>
            <w:r>
              <w:rPr>
                <w:rFonts w:hint="eastAsia"/>
                <w:sz w:val="24"/>
              </w:rPr>
              <w:t>白云建科于2019年4月30日成立于广东省广州市，主要业务为产业园区的开发和租赁、房屋建筑工程、商品住宅开发与销售等。</w:t>
            </w:r>
          </w:p>
          <w:p w14:paraId="18E2F819">
            <w:pPr>
              <w:pStyle w:val="2"/>
              <w:widowControl/>
              <w:adjustRightInd w:val="0"/>
              <w:snapToGrid w:val="0"/>
              <w:spacing w:after="0"/>
              <w:rPr>
                <w:bCs/>
                <w:color w:val="000000"/>
                <w:sz w:val="24"/>
              </w:rPr>
            </w:pPr>
            <w:r>
              <w:rPr>
                <w:rFonts w:hint="eastAsia"/>
                <w:sz w:val="24"/>
              </w:rPr>
              <w:t>白云建科为广州市白云区财政局下属企业。</w:t>
            </w:r>
          </w:p>
        </w:tc>
      </w:tr>
      <w:tr w14:paraId="374B6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14:paraId="7100B07F">
            <w:pPr>
              <w:pStyle w:val="2"/>
              <w:widowControl/>
              <w:adjustRightInd w:val="0"/>
              <w:snapToGrid w:val="0"/>
              <w:spacing w:after="0"/>
              <w:jc w:val="center"/>
              <w:rPr>
                <w:bCs/>
                <w:color w:val="000000"/>
                <w:sz w:val="24"/>
              </w:rPr>
            </w:pPr>
          </w:p>
        </w:tc>
        <w:tc>
          <w:tcPr>
            <w:tcW w:w="1476" w:type="dxa"/>
            <w:vAlign w:val="center"/>
          </w:tcPr>
          <w:p w14:paraId="43304701">
            <w:pPr>
              <w:pStyle w:val="2"/>
              <w:widowControl/>
              <w:adjustRightInd w:val="0"/>
              <w:snapToGrid w:val="0"/>
              <w:spacing w:after="0"/>
              <w:rPr>
                <w:rFonts w:hint="eastAsia" w:eastAsia="宋体"/>
                <w:bCs/>
                <w:color w:val="000000"/>
                <w:sz w:val="24"/>
                <w:lang w:eastAsia="zh-CN"/>
              </w:rPr>
            </w:pPr>
            <w:r>
              <w:rPr>
                <w:bCs/>
                <w:color w:val="000000"/>
                <w:sz w:val="24"/>
              </w:rPr>
              <w:t>2.</w:t>
            </w:r>
            <w:r>
              <w:rPr>
                <w:rFonts w:hint="eastAsia"/>
                <w:bCs/>
                <w:color w:val="000000"/>
                <w:sz w:val="24"/>
                <w:lang w:eastAsia="zh-CN"/>
              </w:rPr>
              <w:t>白云陆港</w:t>
            </w:r>
          </w:p>
        </w:tc>
        <w:tc>
          <w:tcPr>
            <w:tcW w:w="6224" w:type="dxa"/>
            <w:vAlign w:val="center"/>
          </w:tcPr>
          <w:p w14:paraId="369D919F">
            <w:pPr>
              <w:pStyle w:val="2"/>
              <w:widowControl/>
              <w:adjustRightInd w:val="0"/>
              <w:snapToGrid w:val="0"/>
              <w:spacing w:after="0"/>
              <w:rPr>
                <w:rFonts w:hint="eastAsia"/>
                <w:sz w:val="24"/>
              </w:rPr>
            </w:pPr>
            <w:r>
              <w:rPr>
                <w:rFonts w:hint="eastAsia"/>
                <w:sz w:val="24"/>
              </w:rPr>
              <w:t>白云陆港于2022年6月21日成立于广东省广州市，主要业务为通用仓库的开发和租赁。</w:t>
            </w:r>
          </w:p>
          <w:p w14:paraId="18340A7F">
            <w:pPr>
              <w:pStyle w:val="2"/>
              <w:widowControl/>
              <w:adjustRightInd w:val="0"/>
              <w:snapToGrid w:val="0"/>
              <w:spacing w:after="0"/>
              <w:rPr>
                <w:sz w:val="24"/>
              </w:rPr>
            </w:pPr>
            <w:r>
              <w:rPr>
                <w:rFonts w:hint="eastAsia"/>
                <w:sz w:val="24"/>
              </w:rPr>
              <w:t>白云陆港最终控制人为普洛斯集团和白云投资，普洛斯集团主要业务为供应链、大数据及新能源领域新型基础设施的产业服务与投资管理；白云投资主要业务为园区开发、物业管理、商贸服务、项目投资、产权交易服务、城市更新等。</w:t>
            </w:r>
          </w:p>
        </w:tc>
      </w:tr>
      <w:tr w14:paraId="35070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1940" w:type="dxa"/>
            <w:vMerge w:val="continue"/>
            <w:shd w:val="clear" w:color="auto" w:fill="D9D9D9"/>
            <w:vAlign w:val="center"/>
          </w:tcPr>
          <w:p w14:paraId="255235EB">
            <w:pPr>
              <w:pStyle w:val="2"/>
              <w:widowControl/>
              <w:adjustRightInd w:val="0"/>
              <w:snapToGrid w:val="0"/>
              <w:spacing w:after="0"/>
              <w:jc w:val="center"/>
              <w:rPr>
                <w:bCs/>
                <w:color w:val="000000"/>
                <w:sz w:val="24"/>
              </w:rPr>
            </w:pPr>
          </w:p>
        </w:tc>
        <w:tc>
          <w:tcPr>
            <w:tcW w:w="1476" w:type="dxa"/>
            <w:vAlign w:val="center"/>
          </w:tcPr>
          <w:p w14:paraId="53117EC3">
            <w:pPr>
              <w:pStyle w:val="2"/>
              <w:widowControl/>
              <w:adjustRightInd w:val="0"/>
              <w:snapToGrid w:val="0"/>
              <w:spacing w:after="0"/>
              <w:rPr>
                <w:rFonts w:hint="default" w:eastAsia="宋体"/>
                <w:bCs/>
                <w:color w:val="000000"/>
                <w:sz w:val="24"/>
                <w:lang w:val="en-US" w:eastAsia="zh-CN"/>
              </w:rPr>
            </w:pPr>
            <w:r>
              <w:rPr>
                <w:rFonts w:hint="eastAsia"/>
                <w:bCs/>
                <w:color w:val="000000"/>
                <w:sz w:val="24"/>
                <w:lang w:val="en-US" w:eastAsia="zh-CN"/>
              </w:rPr>
              <w:t>3.GLP</w:t>
            </w:r>
          </w:p>
        </w:tc>
        <w:tc>
          <w:tcPr>
            <w:tcW w:w="6224" w:type="dxa"/>
            <w:vAlign w:val="center"/>
          </w:tcPr>
          <w:p w14:paraId="3FA84FE7">
            <w:pPr>
              <w:pStyle w:val="2"/>
              <w:widowControl/>
              <w:adjustRightInd w:val="0"/>
              <w:snapToGrid w:val="0"/>
              <w:spacing w:after="0"/>
              <w:rPr>
                <w:rFonts w:hint="eastAsia"/>
                <w:sz w:val="24"/>
              </w:rPr>
            </w:pPr>
            <w:r>
              <w:rPr>
                <w:rFonts w:hint="eastAsia"/>
                <w:sz w:val="24"/>
              </w:rPr>
              <w:t>GLP于2021年5月28日成立于中国香港，主要业务为作为投资基金开展股权投资。</w:t>
            </w:r>
          </w:p>
          <w:p w14:paraId="7F3D5306">
            <w:pPr>
              <w:pStyle w:val="2"/>
              <w:widowControl/>
              <w:adjustRightInd w:val="0"/>
              <w:snapToGrid w:val="0"/>
              <w:spacing w:after="0"/>
              <w:rPr>
                <w:rFonts w:hint="eastAsia"/>
                <w:sz w:val="24"/>
              </w:rPr>
            </w:pPr>
            <w:r>
              <w:rPr>
                <w:rFonts w:hint="eastAsia"/>
                <w:sz w:val="24"/>
              </w:rPr>
              <w:t>GLP最终控制人为普洛斯集团，主要业务如上所述。</w:t>
            </w:r>
          </w:p>
        </w:tc>
      </w:tr>
      <w:tr w14:paraId="68328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940" w:type="dxa"/>
            <w:vMerge w:val="restart"/>
            <w:shd w:val="clear" w:color="auto" w:fill="D9D9D9"/>
            <w:vAlign w:val="center"/>
          </w:tcPr>
          <w:p w14:paraId="71B6B3CC">
            <w:pPr>
              <w:pStyle w:val="2"/>
              <w:widowControl/>
              <w:adjustRightInd w:val="0"/>
              <w:snapToGrid w:val="0"/>
              <w:spacing w:after="0"/>
              <w:jc w:val="center"/>
              <w:rPr>
                <w:bCs/>
                <w:color w:val="000000"/>
                <w:sz w:val="24"/>
              </w:rPr>
            </w:pPr>
            <w:r>
              <w:rPr>
                <w:bCs/>
                <w:color w:val="000000"/>
                <w:sz w:val="24"/>
              </w:rPr>
              <w:t>简易案件理由（可以单选，也可以多选）</w:t>
            </w:r>
          </w:p>
        </w:tc>
        <w:tc>
          <w:tcPr>
            <w:tcW w:w="7700" w:type="dxa"/>
            <w:gridSpan w:val="2"/>
            <w:vAlign w:val="center"/>
          </w:tcPr>
          <w:p w14:paraId="37830D37">
            <w:pPr>
              <w:pStyle w:val="2"/>
              <w:widowControl/>
              <w:adjustRightInd w:val="0"/>
              <w:snapToGrid w:val="0"/>
              <w:spacing w:after="0"/>
              <w:rPr>
                <w:bCs/>
                <w:color w:val="000000"/>
                <w:sz w:val="24"/>
              </w:rPr>
            </w:pPr>
            <w:r>
              <w:rPr>
                <w:bCs/>
                <w:color w:val="000000"/>
                <w:sz w:val="24"/>
              </w:rPr>
              <w:sym w:font="Wingdings" w:char="00FE"/>
            </w:r>
            <w:r>
              <w:rPr>
                <w:bCs/>
                <w:color w:val="000000"/>
                <w:sz w:val="24"/>
              </w:rPr>
              <w:t xml:space="preserve"> 1、在同一相关市场，所有参与集中的经营者所占市场份额之和小于15%。</w:t>
            </w:r>
          </w:p>
        </w:tc>
      </w:tr>
      <w:tr w14:paraId="248E5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940" w:type="dxa"/>
            <w:vMerge w:val="continue"/>
            <w:shd w:val="clear" w:color="auto" w:fill="D9D9D9"/>
            <w:vAlign w:val="center"/>
          </w:tcPr>
          <w:p w14:paraId="4850E966">
            <w:pPr>
              <w:pStyle w:val="2"/>
              <w:widowControl/>
              <w:adjustRightInd w:val="0"/>
              <w:snapToGrid w:val="0"/>
              <w:spacing w:after="0"/>
              <w:jc w:val="center"/>
              <w:rPr>
                <w:bCs/>
                <w:color w:val="000000"/>
                <w:sz w:val="24"/>
              </w:rPr>
            </w:pPr>
          </w:p>
        </w:tc>
        <w:tc>
          <w:tcPr>
            <w:tcW w:w="7700" w:type="dxa"/>
            <w:gridSpan w:val="2"/>
            <w:vAlign w:val="center"/>
          </w:tcPr>
          <w:p w14:paraId="2979ECEC">
            <w:pPr>
              <w:pStyle w:val="2"/>
              <w:widowControl/>
              <w:adjustRightInd w:val="0"/>
              <w:snapToGrid w:val="0"/>
              <w:spacing w:after="0"/>
              <w:rPr>
                <w:bCs/>
                <w:color w:val="000000"/>
                <w:sz w:val="24"/>
              </w:rPr>
            </w:pPr>
            <w:r>
              <w:rPr>
                <w:bCs/>
                <w:color w:val="000000"/>
                <w:sz w:val="24"/>
              </w:rPr>
              <w:sym w:font="Wingdings" w:char="00A8"/>
            </w:r>
            <w:r>
              <w:rPr>
                <w:bCs/>
                <w:color w:val="000000"/>
                <w:sz w:val="24"/>
              </w:rPr>
              <w:t xml:space="preserve"> 2、存在上下游关系的参与集中的经营者，在上下游市场所占的市场份额均小于25%。</w:t>
            </w:r>
          </w:p>
        </w:tc>
      </w:tr>
      <w:tr w14:paraId="50F93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940" w:type="dxa"/>
            <w:vMerge w:val="continue"/>
            <w:shd w:val="clear" w:color="auto" w:fill="D9D9D9"/>
            <w:vAlign w:val="center"/>
          </w:tcPr>
          <w:p w14:paraId="0EE082E2">
            <w:pPr>
              <w:pStyle w:val="2"/>
              <w:widowControl/>
              <w:adjustRightInd w:val="0"/>
              <w:snapToGrid w:val="0"/>
              <w:spacing w:after="0"/>
              <w:jc w:val="center"/>
              <w:rPr>
                <w:bCs/>
                <w:color w:val="000000"/>
                <w:sz w:val="24"/>
              </w:rPr>
            </w:pPr>
          </w:p>
        </w:tc>
        <w:tc>
          <w:tcPr>
            <w:tcW w:w="7700" w:type="dxa"/>
            <w:gridSpan w:val="2"/>
            <w:vAlign w:val="center"/>
          </w:tcPr>
          <w:p w14:paraId="476F3259">
            <w:pPr>
              <w:pStyle w:val="2"/>
              <w:widowControl/>
              <w:adjustRightInd w:val="0"/>
              <w:snapToGrid w:val="0"/>
              <w:spacing w:after="0"/>
              <w:rPr>
                <w:bCs/>
                <w:color w:val="000000"/>
                <w:sz w:val="24"/>
              </w:rPr>
            </w:pPr>
            <w:r>
              <w:rPr>
                <w:bCs/>
                <w:color w:val="000000"/>
                <w:sz w:val="24"/>
              </w:rPr>
              <w:sym w:font="Wingdings" w:char="00A8"/>
            </w:r>
            <w:r>
              <w:rPr>
                <w:bCs/>
                <w:color w:val="000000"/>
                <w:sz w:val="24"/>
              </w:rPr>
              <w:t xml:space="preserve"> 3、不在同一相关市场、也不存在上下游关系的参与集中的经营者，在与交易有关的每个市场所占的份额均小于25%。</w:t>
            </w:r>
          </w:p>
        </w:tc>
      </w:tr>
      <w:tr w14:paraId="72CDF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5" w:hRule="atLeast"/>
        </w:trPr>
        <w:tc>
          <w:tcPr>
            <w:tcW w:w="1940" w:type="dxa"/>
            <w:vMerge w:val="continue"/>
            <w:shd w:val="clear" w:color="auto" w:fill="D9D9D9"/>
            <w:vAlign w:val="center"/>
          </w:tcPr>
          <w:p w14:paraId="54AEE836">
            <w:pPr>
              <w:pStyle w:val="2"/>
              <w:widowControl/>
              <w:adjustRightInd w:val="0"/>
              <w:snapToGrid w:val="0"/>
              <w:spacing w:after="0"/>
              <w:jc w:val="center"/>
              <w:rPr>
                <w:bCs/>
                <w:color w:val="000000"/>
                <w:sz w:val="24"/>
              </w:rPr>
            </w:pPr>
          </w:p>
        </w:tc>
        <w:tc>
          <w:tcPr>
            <w:tcW w:w="7700" w:type="dxa"/>
            <w:gridSpan w:val="2"/>
            <w:vAlign w:val="center"/>
          </w:tcPr>
          <w:p w14:paraId="2BE0D927">
            <w:pPr>
              <w:pStyle w:val="2"/>
              <w:widowControl/>
              <w:adjustRightInd w:val="0"/>
              <w:snapToGrid w:val="0"/>
              <w:spacing w:after="0"/>
              <w:rPr>
                <w:bCs/>
                <w:color w:val="000000"/>
                <w:sz w:val="24"/>
              </w:rPr>
            </w:pPr>
            <w:r>
              <w:rPr>
                <w:bCs/>
                <w:color w:val="000000"/>
                <w:sz w:val="24"/>
              </w:rPr>
              <w:sym w:font="Wingdings" w:char="00A8"/>
            </w:r>
            <w:r>
              <w:rPr>
                <w:bCs/>
                <w:color w:val="000000"/>
                <w:sz w:val="24"/>
              </w:rPr>
              <w:t xml:space="preserve"> 4、参与集中的经营者在中国境外设立合营企业，合营企业不在中国境内从事经济活动。</w:t>
            </w:r>
          </w:p>
        </w:tc>
      </w:tr>
      <w:tr w14:paraId="5004E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940" w:type="dxa"/>
            <w:vMerge w:val="continue"/>
            <w:shd w:val="clear" w:color="auto" w:fill="D9D9D9"/>
            <w:vAlign w:val="center"/>
          </w:tcPr>
          <w:p w14:paraId="67C0A90F">
            <w:pPr>
              <w:pStyle w:val="2"/>
              <w:widowControl/>
              <w:adjustRightInd w:val="0"/>
              <w:snapToGrid w:val="0"/>
              <w:spacing w:after="0"/>
              <w:jc w:val="center"/>
              <w:rPr>
                <w:bCs/>
                <w:color w:val="000000"/>
                <w:sz w:val="24"/>
              </w:rPr>
            </w:pPr>
          </w:p>
        </w:tc>
        <w:tc>
          <w:tcPr>
            <w:tcW w:w="7700" w:type="dxa"/>
            <w:gridSpan w:val="2"/>
            <w:vAlign w:val="center"/>
          </w:tcPr>
          <w:p w14:paraId="337C2336">
            <w:pPr>
              <w:pStyle w:val="2"/>
              <w:widowControl/>
              <w:adjustRightInd w:val="0"/>
              <w:snapToGrid w:val="0"/>
              <w:spacing w:after="0"/>
              <w:rPr>
                <w:bCs/>
                <w:color w:val="000000"/>
                <w:sz w:val="24"/>
              </w:rPr>
            </w:pPr>
            <w:r>
              <w:rPr>
                <w:bCs/>
                <w:color w:val="000000"/>
                <w:sz w:val="24"/>
              </w:rPr>
              <w:sym w:font="Wingdings" w:char="00A8"/>
            </w:r>
            <w:r>
              <w:rPr>
                <w:bCs/>
                <w:color w:val="000000"/>
                <w:sz w:val="24"/>
              </w:rPr>
              <w:t xml:space="preserve"> 5、参与集中的经营者收购境外企业股权或资产的，该境外企业不在中国境内从事经济活动。</w:t>
            </w:r>
          </w:p>
        </w:tc>
      </w:tr>
      <w:tr w14:paraId="6FA5B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940" w:type="dxa"/>
            <w:vMerge w:val="continue"/>
            <w:shd w:val="clear" w:color="auto" w:fill="D9D9D9"/>
            <w:vAlign w:val="center"/>
          </w:tcPr>
          <w:p w14:paraId="2B7D1CC5">
            <w:pPr>
              <w:pStyle w:val="2"/>
              <w:widowControl/>
              <w:adjustRightInd w:val="0"/>
              <w:snapToGrid w:val="0"/>
              <w:spacing w:after="0"/>
              <w:jc w:val="center"/>
              <w:rPr>
                <w:bCs/>
                <w:color w:val="000000"/>
                <w:sz w:val="24"/>
              </w:rPr>
            </w:pPr>
          </w:p>
        </w:tc>
        <w:tc>
          <w:tcPr>
            <w:tcW w:w="7700" w:type="dxa"/>
            <w:gridSpan w:val="2"/>
            <w:vAlign w:val="center"/>
          </w:tcPr>
          <w:p w14:paraId="123C08CC">
            <w:pPr>
              <w:pStyle w:val="2"/>
              <w:widowControl/>
              <w:adjustRightInd w:val="0"/>
              <w:snapToGrid w:val="0"/>
              <w:spacing w:after="0"/>
              <w:rPr>
                <w:bCs/>
                <w:color w:val="000000"/>
                <w:sz w:val="24"/>
              </w:rPr>
            </w:pPr>
            <w:r>
              <w:rPr>
                <w:bCs/>
                <w:color w:val="000000"/>
                <w:sz w:val="24"/>
              </w:rPr>
              <w:sym w:font="Wingdings" w:char="00A8"/>
            </w:r>
            <w:r>
              <w:rPr>
                <w:bCs/>
                <w:color w:val="000000"/>
                <w:sz w:val="24"/>
              </w:rPr>
              <w:t xml:space="preserve"> 6、由两个以上的经营者共同控制的合营企业，通过集中被其中一个或一个以上经营者控制。</w:t>
            </w:r>
          </w:p>
        </w:tc>
      </w:tr>
      <w:tr w14:paraId="43DFF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trPr>
        <w:tc>
          <w:tcPr>
            <w:tcW w:w="1940" w:type="dxa"/>
            <w:shd w:val="clear" w:color="auto" w:fill="D9D9D9"/>
            <w:vAlign w:val="center"/>
          </w:tcPr>
          <w:p w14:paraId="2D193DC6">
            <w:pPr>
              <w:pStyle w:val="2"/>
              <w:widowControl/>
              <w:adjustRightInd w:val="0"/>
              <w:snapToGrid w:val="0"/>
              <w:spacing w:after="0"/>
              <w:jc w:val="center"/>
              <w:rPr>
                <w:bCs/>
                <w:color w:val="000000"/>
                <w:sz w:val="24"/>
              </w:rPr>
            </w:pPr>
            <w:r>
              <w:rPr>
                <w:bCs/>
                <w:color w:val="000000"/>
                <w:sz w:val="24"/>
              </w:rPr>
              <w:t>备注</w:t>
            </w:r>
          </w:p>
        </w:tc>
        <w:tc>
          <w:tcPr>
            <w:tcW w:w="7700" w:type="dxa"/>
            <w:gridSpan w:val="2"/>
            <w:vAlign w:val="center"/>
          </w:tcPr>
          <w:p w14:paraId="7D09342D">
            <w:pPr>
              <w:pStyle w:val="2"/>
              <w:widowControl/>
              <w:adjustRightInd w:val="0"/>
              <w:snapToGrid w:val="0"/>
              <w:spacing w:after="0"/>
              <w:rPr>
                <w:rFonts w:hint="eastAsia"/>
                <w:b/>
                <w:color w:val="000000"/>
                <w:kern w:val="0"/>
                <w:sz w:val="24"/>
                <w:lang w:val="en-GB"/>
              </w:rPr>
            </w:pPr>
            <w:r>
              <w:rPr>
                <w:rFonts w:hint="eastAsia"/>
                <w:b/>
                <w:color w:val="000000"/>
                <w:kern w:val="0"/>
                <w:sz w:val="24"/>
                <w:lang w:val="en-GB" w:eastAsia="zh-CN"/>
              </w:rPr>
              <w:t>横向重叠</w:t>
            </w:r>
            <w:r>
              <w:rPr>
                <w:rFonts w:hint="eastAsia"/>
                <w:b/>
                <w:color w:val="000000"/>
                <w:kern w:val="0"/>
                <w:sz w:val="24"/>
                <w:lang w:val="en-GB"/>
              </w:rPr>
              <w:t>：</w:t>
            </w:r>
          </w:p>
          <w:p w14:paraId="54CB7808">
            <w:pPr>
              <w:pStyle w:val="2"/>
              <w:widowControl/>
              <w:adjustRightInd w:val="0"/>
              <w:snapToGrid w:val="0"/>
              <w:spacing w:after="0"/>
              <w:rPr>
                <w:rFonts w:hint="eastAsia"/>
                <w:b w:val="0"/>
                <w:bCs/>
                <w:color w:val="000000"/>
                <w:kern w:val="0"/>
                <w:sz w:val="24"/>
                <w:lang w:val="en-GB"/>
              </w:rPr>
            </w:pPr>
            <w:r>
              <w:rPr>
                <w:rFonts w:hint="eastAsia"/>
                <w:b w:val="0"/>
                <w:bCs/>
                <w:color w:val="000000"/>
                <w:kern w:val="0"/>
                <w:sz w:val="24"/>
                <w:lang w:val="en-GB"/>
              </w:rPr>
              <w:t>2024年广州市通用仓库的开发和租赁市场：</w:t>
            </w:r>
          </w:p>
          <w:p w14:paraId="79BE496C">
            <w:pPr>
              <w:pStyle w:val="2"/>
              <w:widowControl/>
              <w:adjustRightInd w:val="0"/>
              <w:snapToGrid w:val="0"/>
              <w:spacing w:after="0"/>
              <w:rPr>
                <w:rFonts w:hint="eastAsia"/>
                <w:bCs/>
                <w:color w:val="000000"/>
                <w:kern w:val="0"/>
                <w:sz w:val="24"/>
              </w:rPr>
            </w:pPr>
            <w:r>
              <w:rPr>
                <w:rFonts w:hint="eastAsia"/>
                <w:b w:val="0"/>
                <w:bCs/>
                <w:color w:val="000000"/>
                <w:kern w:val="0"/>
                <w:sz w:val="24"/>
                <w:lang w:val="en-GB"/>
              </w:rPr>
              <w:t>白云陆港：0-5%，GLP：0-5%，双方合计：0-5%</w:t>
            </w:r>
          </w:p>
        </w:tc>
      </w:tr>
    </w:tbl>
    <w:p w14:paraId="668522FA">
      <w:bookmarkStart w:id="0" w:name="_GoBack"/>
      <w:bookmarkEnd w:id="0"/>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A85E07"/>
    <w:rsid w:val="2AA85E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unhideWhenUsed/>
    <w:qFormat/>
    <w:uiPriority w:val="99"/>
    <w:pPr>
      <w:spacing w:after="120"/>
    </w:p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省市场监督管理局</Company>
  <Pages>1</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2026-01-13T01:21:00Z</dcterms:created>
  <dc:creator>郑玉丽</dc:creator>
  <cp:lastModifiedBy>郑玉丽</cp:lastModifiedBy>
  <dcterms:modified xsi:type="dcterms:W3CDTF">2026-01-13T01:22:50Z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458F33FA0D98458FAB6A8A080D6D5C0D_11</vt:lpwstr>
  </property>
  <property fmtid="{D5CDD505-2E9C-101B-9397-08002B2CF9AE}" pid="4" name="KSOTemplateDocerSaveRecord">
    <vt:lpwstr>eyJoZGlkIjoiODNjM2VkZWUwYjdkZDYzZGY2NmZiZGNiZGIyMjFjYWIiLCJ1c2VySWQiOiIxMjE0ODEzMDc5In0=</vt:lpwstr>
  </property>
</Properties>
</file>