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6D880">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420C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26E83419">
            <w:pPr>
              <w:pStyle w:val="2"/>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41A4DAF2">
            <w:pPr>
              <w:widowControl/>
              <w:adjustRightInd w:val="0"/>
              <w:snapToGrid w:val="0"/>
              <w:rPr>
                <w:bCs/>
                <w:color w:val="000000"/>
                <w:sz w:val="24"/>
              </w:rPr>
            </w:pPr>
            <w:r>
              <w:rPr>
                <w:rFonts w:hint="eastAsia"/>
                <w:sz w:val="24"/>
              </w:rPr>
              <w:t>国投交通控股有限公司与海南省洋浦开发建设控股有限公司收购国投裕廊洋浦港口有限公司股权案</w:t>
            </w:r>
          </w:p>
        </w:tc>
      </w:tr>
      <w:tr w14:paraId="0193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7EA742A5">
            <w:pPr>
              <w:pStyle w:val="2"/>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66E59DF6">
            <w:pPr>
              <w:widowControl/>
              <w:adjustRightInd w:val="0"/>
              <w:snapToGrid w:val="0"/>
              <w:rPr>
                <w:rFonts w:hint="eastAsia"/>
                <w:sz w:val="24"/>
              </w:rPr>
            </w:pPr>
            <w:r>
              <w:rPr>
                <w:rFonts w:hint="eastAsia"/>
                <w:sz w:val="24"/>
              </w:rPr>
              <w:t>国投交通控股有限公司（“国投交通”）与海南省洋浦开发建设控股有限公司（“洋浦控股”）通过双方共同控制的国投洋浦港有限公司（“国投洋浦港”）与裕廊海港海南控股私人有限公司（“裕廊海南”）签署协议，国投洋浦港拟收购国投裕廊洋浦港口有限公司（“国投裕廊”）共计49%的股权。</w:t>
            </w:r>
          </w:p>
          <w:p w14:paraId="104FA571">
            <w:pPr>
              <w:widowControl/>
              <w:adjustRightInd w:val="0"/>
              <w:snapToGrid w:val="0"/>
              <w:rPr>
                <w:sz w:val="24"/>
              </w:rPr>
            </w:pPr>
            <w:r>
              <w:rPr>
                <w:rFonts w:hint="eastAsia"/>
                <w:sz w:val="24"/>
              </w:rPr>
              <w:t>交易前，国投洋浦港与裕廊海南分别持有国投裕廊51%、49%的股权，共同控制国投裕廊。交易后，国投洋浦港将持有国投裕廊的100%股权，即国投交通与洋浦控股（通过国投洋浦港）共同控制国投裕廊。</w:t>
            </w:r>
          </w:p>
        </w:tc>
      </w:tr>
      <w:tr w14:paraId="78B4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5AB78EDE">
            <w:pPr>
              <w:pStyle w:val="2"/>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4DC0F9B2">
            <w:pPr>
              <w:pStyle w:val="2"/>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国投交通</w:t>
            </w:r>
          </w:p>
        </w:tc>
        <w:tc>
          <w:tcPr>
            <w:tcW w:w="6224" w:type="dxa"/>
            <w:vAlign w:val="center"/>
          </w:tcPr>
          <w:p w14:paraId="19AA497A">
            <w:pPr>
              <w:pStyle w:val="2"/>
              <w:widowControl/>
              <w:adjustRightInd w:val="0"/>
              <w:snapToGrid w:val="0"/>
              <w:spacing w:after="0"/>
              <w:rPr>
                <w:rFonts w:hint="eastAsia"/>
                <w:sz w:val="24"/>
              </w:rPr>
            </w:pPr>
            <w:r>
              <w:rPr>
                <w:rFonts w:hint="eastAsia"/>
                <w:sz w:val="24"/>
              </w:rPr>
              <w:t>国投交通于2013年10月29日成立于北京市，主要经营港口、铁路、油气储运、现代物流等综合交通基础设施项目。</w:t>
            </w:r>
          </w:p>
          <w:p w14:paraId="55912215">
            <w:pPr>
              <w:pStyle w:val="2"/>
              <w:widowControl/>
              <w:adjustRightInd w:val="0"/>
              <w:snapToGrid w:val="0"/>
              <w:spacing w:after="0"/>
              <w:rPr>
                <w:bCs/>
                <w:color w:val="000000"/>
                <w:sz w:val="24"/>
              </w:rPr>
            </w:pPr>
            <w:r>
              <w:rPr>
                <w:rFonts w:hint="eastAsia"/>
                <w:sz w:val="24"/>
              </w:rPr>
              <w:t>国投交通的最终控制人为国家开发投资集团有限公司（“国投公司”），主要业务涉及能源产业、数字/科技、民生健康、产业金融。</w:t>
            </w:r>
          </w:p>
        </w:tc>
      </w:tr>
      <w:tr w14:paraId="113B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1DECA8F">
            <w:pPr>
              <w:pStyle w:val="2"/>
              <w:widowControl/>
              <w:adjustRightInd w:val="0"/>
              <w:snapToGrid w:val="0"/>
              <w:spacing w:after="0"/>
              <w:jc w:val="center"/>
              <w:rPr>
                <w:bCs/>
                <w:color w:val="000000"/>
                <w:sz w:val="24"/>
              </w:rPr>
            </w:pPr>
          </w:p>
        </w:tc>
        <w:tc>
          <w:tcPr>
            <w:tcW w:w="1476" w:type="dxa"/>
            <w:vAlign w:val="center"/>
          </w:tcPr>
          <w:p w14:paraId="3CD47850">
            <w:pPr>
              <w:pStyle w:val="2"/>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洋浦控股</w:t>
            </w:r>
          </w:p>
        </w:tc>
        <w:tc>
          <w:tcPr>
            <w:tcW w:w="6224" w:type="dxa"/>
            <w:vAlign w:val="center"/>
          </w:tcPr>
          <w:p w14:paraId="2517555B">
            <w:pPr>
              <w:pStyle w:val="2"/>
              <w:widowControl/>
              <w:adjustRightInd w:val="0"/>
              <w:snapToGrid w:val="0"/>
              <w:spacing w:after="0"/>
              <w:rPr>
                <w:rFonts w:hint="eastAsia"/>
                <w:sz w:val="24"/>
              </w:rPr>
            </w:pPr>
            <w:r>
              <w:rPr>
                <w:rFonts w:hint="eastAsia"/>
                <w:sz w:val="24"/>
              </w:rPr>
              <w:t>洋浦控股于2007年9月25日成立于海南省儋州市，主要业务涉及工程建设、物业、酒店、公交、水务（供水、自来水、污水）、贸易、管廊等。</w:t>
            </w:r>
          </w:p>
          <w:p w14:paraId="43E2DE08">
            <w:pPr>
              <w:pStyle w:val="2"/>
              <w:widowControl/>
              <w:adjustRightInd w:val="0"/>
              <w:snapToGrid w:val="0"/>
              <w:spacing w:after="0"/>
              <w:rPr>
                <w:sz w:val="24"/>
              </w:rPr>
            </w:pPr>
            <w:r>
              <w:rPr>
                <w:rFonts w:hint="eastAsia"/>
                <w:sz w:val="24"/>
              </w:rPr>
              <w:t>洋浦控股为洋浦经济开发区管理委员会下属企业。</w:t>
            </w:r>
          </w:p>
        </w:tc>
      </w:tr>
      <w:tr w14:paraId="245B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37564BA">
            <w:pPr>
              <w:pStyle w:val="2"/>
              <w:widowControl/>
              <w:adjustRightInd w:val="0"/>
              <w:snapToGrid w:val="0"/>
              <w:spacing w:after="0"/>
              <w:jc w:val="center"/>
              <w:rPr>
                <w:bCs/>
                <w:color w:val="000000"/>
                <w:sz w:val="24"/>
              </w:rPr>
            </w:pPr>
          </w:p>
        </w:tc>
        <w:tc>
          <w:tcPr>
            <w:tcW w:w="1476" w:type="dxa"/>
            <w:vAlign w:val="center"/>
          </w:tcPr>
          <w:p w14:paraId="75CC86E2">
            <w:pPr>
              <w:pStyle w:val="2"/>
              <w:widowControl/>
              <w:adjustRightInd w:val="0"/>
              <w:snapToGrid w:val="0"/>
              <w:spacing w:after="0"/>
              <w:rPr>
                <w:rFonts w:hint="default" w:eastAsia="宋体"/>
                <w:bCs/>
                <w:color w:val="000000"/>
                <w:sz w:val="24"/>
                <w:lang w:val="en-US" w:eastAsia="zh-CN"/>
              </w:rPr>
            </w:pPr>
            <w:r>
              <w:rPr>
                <w:rFonts w:hint="eastAsia"/>
                <w:bCs/>
                <w:color w:val="000000"/>
                <w:sz w:val="24"/>
                <w:lang w:val="en-US" w:eastAsia="zh-CN"/>
              </w:rPr>
              <w:t>3.国投裕廊</w:t>
            </w:r>
          </w:p>
        </w:tc>
        <w:tc>
          <w:tcPr>
            <w:tcW w:w="6224" w:type="dxa"/>
            <w:vAlign w:val="center"/>
          </w:tcPr>
          <w:p w14:paraId="574193AE">
            <w:pPr>
              <w:pStyle w:val="2"/>
              <w:widowControl/>
              <w:adjustRightInd w:val="0"/>
              <w:snapToGrid w:val="0"/>
              <w:spacing w:after="0"/>
              <w:rPr>
                <w:rFonts w:hint="eastAsia"/>
                <w:sz w:val="24"/>
              </w:rPr>
            </w:pPr>
            <w:r>
              <w:rPr>
                <w:rFonts w:hint="eastAsia"/>
                <w:sz w:val="24"/>
              </w:rPr>
              <w:t>国投裕廊于2012年9月18日成立于海南省儋州市，主要业务为干散杂货码头服务以及集装箱码头服务。</w:t>
            </w:r>
          </w:p>
          <w:p w14:paraId="7A13802F">
            <w:pPr>
              <w:pStyle w:val="2"/>
              <w:widowControl/>
              <w:adjustRightInd w:val="0"/>
              <w:snapToGrid w:val="0"/>
              <w:spacing w:after="0"/>
              <w:rPr>
                <w:rFonts w:hint="eastAsia"/>
                <w:sz w:val="24"/>
              </w:rPr>
            </w:pPr>
            <w:r>
              <w:rPr>
                <w:rFonts w:hint="eastAsia"/>
                <w:sz w:val="24"/>
              </w:rPr>
              <w:t>国投裕廊的最终控制人为国投公司、洋浦控股、裕廊海港私人有限公司（“裕廊海港”）。国投公司与洋浦控股的主要业务如上所述，裕廊海港主要从事码头运营。</w:t>
            </w:r>
          </w:p>
        </w:tc>
      </w:tr>
      <w:tr w14:paraId="7EFE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3B3B9B63">
            <w:pPr>
              <w:pStyle w:val="2"/>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37FDAF7C">
            <w:pPr>
              <w:pStyle w:val="2"/>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1、在同一相关市场，所有参与集中的经营者所占市场份额之和小于15%。</w:t>
            </w:r>
          </w:p>
        </w:tc>
      </w:tr>
      <w:tr w14:paraId="6A01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56FBCCA9">
            <w:pPr>
              <w:pStyle w:val="2"/>
              <w:widowControl/>
              <w:adjustRightInd w:val="0"/>
              <w:snapToGrid w:val="0"/>
              <w:spacing w:after="0"/>
              <w:jc w:val="center"/>
              <w:rPr>
                <w:bCs/>
                <w:color w:val="000000"/>
                <w:sz w:val="24"/>
              </w:rPr>
            </w:pPr>
          </w:p>
        </w:tc>
        <w:tc>
          <w:tcPr>
            <w:tcW w:w="7700" w:type="dxa"/>
            <w:gridSpan w:val="2"/>
            <w:vAlign w:val="center"/>
          </w:tcPr>
          <w:p w14:paraId="16400714">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2、存在上下游关系的参与集中的经营者，在上下游市场所占的市场份额均小于25%。</w:t>
            </w:r>
          </w:p>
        </w:tc>
      </w:tr>
      <w:tr w14:paraId="3E3D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308D8DD5">
            <w:pPr>
              <w:pStyle w:val="2"/>
              <w:widowControl/>
              <w:adjustRightInd w:val="0"/>
              <w:snapToGrid w:val="0"/>
              <w:spacing w:after="0"/>
              <w:jc w:val="center"/>
              <w:rPr>
                <w:bCs/>
                <w:color w:val="000000"/>
                <w:sz w:val="24"/>
              </w:rPr>
            </w:pPr>
          </w:p>
        </w:tc>
        <w:tc>
          <w:tcPr>
            <w:tcW w:w="7700" w:type="dxa"/>
            <w:gridSpan w:val="2"/>
            <w:vAlign w:val="center"/>
          </w:tcPr>
          <w:p w14:paraId="3EE8FAA0">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5D21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05082EA3">
            <w:pPr>
              <w:pStyle w:val="2"/>
              <w:widowControl/>
              <w:adjustRightInd w:val="0"/>
              <w:snapToGrid w:val="0"/>
              <w:spacing w:after="0"/>
              <w:jc w:val="center"/>
              <w:rPr>
                <w:bCs/>
                <w:color w:val="000000"/>
                <w:sz w:val="24"/>
              </w:rPr>
            </w:pPr>
          </w:p>
        </w:tc>
        <w:tc>
          <w:tcPr>
            <w:tcW w:w="7700" w:type="dxa"/>
            <w:gridSpan w:val="2"/>
            <w:vAlign w:val="center"/>
          </w:tcPr>
          <w:p w14:paraId="5B4474BB">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0B00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8D9B378">
            <w:pPr>
              <w:pStyle w:val="2"/>
              <w:widowControl/>
              <w:adjustRightInd w:val="0"/>
              <w:snapToGrid w:val="0"/>
              <w:spacing w:after="0"/>
              <w:jc w:val="center"/>
              <w:rPr>
                <w:bCs/>
                <w:color w:val="000000"/>
                <w:sz w:val="24"/>
              </w:rPr>
            </w:pPr>
          </w:p>
        </w:tc>
        <w:tc>
          <w:tcPr>
            <w:tcW w:w="7700" w:type="dxa"/>
            <w:gridSpan w:val="2"/>
            <w:vAlign w:val="center"/>
          </w:tcPr>
          <w:p w14:paraId="32006F8E">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2620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323A2B57">
            <w:pPr>
              <w:pStyle w:val="2"/>
              <w:widowControl/>
              <w:adjustRightInd w:val="0"/>
              <w:snapToGrid w:val="0"/>
              <w:spacing w:after="0"/>
              <w:jc w:val="center"/>
              <w:rPr>
                <w:bCs/>
                <w:color w:val="000000"/>
                <w:sz w:val="24"/>
              </w:rPr>
            </w:pPr>
          </w:p>
        </w:tc>
        <w:tc>
          <w:tcPr>
            <w:tcW w:w="7700" w:type="dxa"/>
            <w:gridSpan w:val="2"/>
            <w:vAlign w:val="center"/>
          </w:tcPr>
          <w:p w14:paraId="621485CC">
            <w:pPr>
              <w:pStyle w:val="2"/>
              <w:widowControl/>
              <w:adjustRightInd w:val="0"/>
              <w:snapToGrid w:val="0"/>
              <w:spacing w:after="0"/>
              <w:rPr>
                <w:bCs/>
                <w:color w:val="000000"/>
                <w:sz w:val="24"/>
              </w:rPr>
            </w:pPr>
            <w:r>
              <w:rPr>
                <w:bCs/>
                <w:color w:val="000000"/>
                <w:sz w:val="24"/>
              </w:rPr>
              <w:sym w:font="Wingdings" w:char="00FE"/>
            </w:r>
            <w:r>
              <w:rPr>
                <w:bCs/>
                <w:color w:val="000000"/>
                <w:sz w:val="24"/>
              </w:rPr>
              <w:t xml:space="preserve"> 6、由两个以上的经营者共同控制的合营企业，通过集中被其中一个或一个以上经营者控制。</w:t>
            </w:r>
          </w:p>
        </w:tc>
      </w:tr>
      <w:tr w14:paraId="1C8F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530F9F82">
            <w:pPr>
              <w:pStyle w:val="2"/>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7AC7ACF8">
            <w:pPr>
              <w:pStyle w:val="2"/>
              <w:widowControl/>
              <w:adjustRightInd w:val="0"/>
              <w:snapToGrid w:val="0"/>
              <w:spacing w:after="0"/>
              <w:rPr>
                <w:rFonts w:hint="eastAsia"/>
                <w:b/>
                <w:color w:val="000000"/>
                <w:kern w:val="0"/>
                <w:sz w:val="24"/>
                <w:lang w:val="en-GB"/>
              </w:rPr>
            </w:pPr>
            <w:r>
              <w:rPr>
                <w:rFonts w:hint="eastAsia"/>
                <w:b/>
                <w:color w:val="000000"/>
                <w:kern w:val="0"/>
                <w:sz w:val="24"/>
                <w:lang w:val="en-GB" w:eastAsia="zh-CN"/>
              </w:rPr>
              <w:t>横向重叠</w:t>
            </w:r>
            <w:r>
              <w:rPr>
                <w:rFonts w:hint="eastAsia"/>
                <w:b/>
                <w:color w:val="000000"/>
                <w:kern w:val="0"/>
                <w:sz w:val="24"/>
                <w:lang w:val="en-GB"/>
              </w:rPr>
              <w:t>：</w:t>
            </w:r>
          </w:p>
          <w:p w14:paraId="52B31748">
            <w:pPr>
              <w:pStyle w:val="2"/>
              <w:widowControl/>
              <w:adjustRightInd w:val="0"/>
              <w:snapToGrid w:val="0"/>
              <w:spacing w:after="0"/>
              <w:rPr>
                <w:rFonts w:hint="eastAsia"/>
                <w:b w:val="0"/>
                <w:bCs/>
                <w:color w:val="000000"/>
                <w:kern w:val="0"/>
                <w:sz w:val="24"/>
                <w:lang w:val="en-GB"/>
              </w:rPr>
            </w:pPr>
            <w:r>
              <w:rPr>
                <w:rFonts w:hint="eastAsia"/>
                <w:b w:val="0"/>
                <w:bCs/>
                <w:color w:val="000000"/>
                <w:kern w:val="0"/>
                <w:sz w:val="24"/>
                <w:lang w:val="en-GB"/>
              </w:rPr>
              <w:t>2024年西南沿海干散杂货码头服务市场：</w:t>
            </w:r>
          </w:p>
          <w:p w14:paraId="3345C5A1">
            <w:pPr>
              <w:pStyle w:val="2"/>
              <w:widowControl/>
              <w:adjustRightInd w:val="0"/>
              <w:snapToGrid w:val="0"/>
              <w:spacing w:after="0"/>
              <w:rPr>
                <w:rFonts w:hint="eastAsia"/>
                <w:bCs/>
                <w:color w:val="000000"/>
                <w:kern w:val="0"/>
                <w:sz w:val="24"/>
              </w:rPr>
            </w:pPr>
            <w:r>
              <w:rPr>
                <w:rFonts w:hint="eastAsia"/>
                <w:b w:val="0"/>
                <w:bCs/>
                <w:color w:val="000000"/>
                <w:kern w:val="0"/>
                <w:sz w:val="24"/>
                <w:lang w:val="en-GB"/>
              </w:rPr>
              <w:t>国投交通：0-5%，国投裕廊：0-5%，双方合计：0-5%</w:t>
            </w:r>
          </w:p>
        </w:tc>
      </w:tr>
    </w:tbl>
    <w:p w14:paraId="5A5D9AB9">
      <w:pPr>
        <w:adjustRightInd w:val="0"/>
        <w:snapToGrid w:val="0"/>
        <w:rPr>
          <w:rFonts w:eastAsiaTheme="minorEastAsia"/>
        </w:rPr>
      </w:pPr>
    </w:p>
    <w:p w14:paraId="7B12E08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1743F"/>
    <w:rsid w:val="4A817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2026-01-14T01:56:00Z</dcterms:created>
  <dc:creator>郑玉丽</dc:creator>
  <cp:lastModifiedBy>郑玉丽</cp:lastModifiedBy>
  <dcterms:modified xsi:type="dcterms:W3CDTF">2026-01-14T01:56:24Z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C42F14630A844FF79AE366008E90B175_11</vt:lpwstr>
  </property>
  <property fmtid="{D5CDD505-2E9C-101B-9397-08002B2CF9AE}" pid="4" name="KSOTemplateDocerSaveRecord">
    <vt:lpwstr>eyJoZGlkIjoiODNjM2VkZWUwYjdkZDYzZGY2NmZiZGNiZGIyMjFjYWIiLCJ1c2VySWQiOiIxMjE0ODEzMDc5In0=</vt:lpwstr>
  </property>
</Properties>
</file>