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8EFAB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</w:pPr>
      <w:r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21872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3A7D8187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420F24EF">
            <w:pPr>
              <w:adjustRightInd w:val="0"/>
              <w:snapToGrid w:val="0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ascii="宋体" w:hAnsi="宋体" w:eastAsia="宋体" w:cs="宋体"/>
                <w:bCs/>
                <w:color w:val="000000"/>
                <w:sz w:val="24"/>
              </w:rPr>
              <w:t>中远海运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</w:rPr>
              <w:t>控股（香港）</w:t>
            </w:r>
            <w:r>
              <w:rPr>
                <w:rFonts w:ascii="宋体" w:hAnsi="宋体" w:eastAsia="宋体" w:cs="宋体"/>
                <w:bCs/>
                <w:color w:val="000000"/>
                <w:sz w:val="24"/>
              </w:rPr>
              <w:t>有限公司与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</w:rPr>
              <w:t>新扬贸易</w:t>
            </w:r>
            <w:r>
              <w:rPr>
                <w:rFonts w:ascii="宋体" w:hAnsi="宋体" w:eastAsia="宋体" w:cs="宋体"/>
                <w:bCs/>
                <w:color w:val="000000"/>
                <w:sz w:val="24"/>
              </w:rPr>
              <w:t>有限公司新设合营企业案</w:t>
            </w:r>
          </w:p>
        </w:tc>
      </w:tr>
      <w:tr w14:paraId="410C1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359EDD16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eastAsia="zh-CN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44ABA87E">
            <w:pPr>
              <w:adjustRightInd w:val="0"/>
              <w:snapToGrid w:val="0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ascii="宋体" w:hAnsi="宋体" w:eastAsia="宋体" w:cs="宋体"/>
                <w:bCs/>
                <w:color w:val="000000"/>
                <w:sz w:val="24"/>
              </w:rPr>
              <w:t>中远海运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</w:rPr>
              <w:t>控股（香港）</w:t>
            </w:r>
            <w:r>
              <w:rPr>
                <w:rFonts w:ascii="宋体" w:hAnsi="宋体" w:eastAsia="宋体" w:cs="宋体"/>
                <w:bCs/>
                <w:color w:val="000000"/>
                <w:sz w:val="24"/>
              </w:rPr>
              <w:t>有限公司</w:t>
            </w:r>
            <w:r>
              <w:rPr>
                <w:rFonts w:hint="eastAsia" w:ascii="宋体" w:hAnsi="宋体" w:eastAsia="宋体" w:cs="宋体"/>
                <w:sz w:val="24"/>
              </w:rPr>
              <w:t>（“海控香港”）与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</w:rPr>
              <w:t>新扬贸易</w:t>
            </w:r>
            <w:r>
              <w:rPr>
                <w:rFonts w:ascii="宋体" w:hAnsi="宋体" w:eastAsia="宋体" w:cs="宋体"/>
                <w:bCs/>
                <w:color w:val="000000"/>
                <w:sz w:val="24"/>
              </w:rPr>
              <w:t>有限公司</w:t>
            </w:r>
            <w:r>
              <w:rPr>
                <w:rFonts w:hint="eastAsia" w:ascii="宋体" w:hAnsi="宋体" w:eastAsia="宋体" w:cs="宋体"/>
                <w:sz w:val="24"/>
              </w:rPr>
              <w:t>（“新扬公司”）签署协议，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拟</w:t>
            </w:r>
            <w:r>
              <w:rPr>
                <w:rFonts w:hint="eastAsia" w:ascii="宋体" w:hAnsi="宋体" w:eastAsia="宋体" w:cs="宋体"/>
                <w:sz w:val="24"/>
              </w:rPr>
              <w:t>共同新设合营企业。合营企业主要在南非从事运输、仓储、报关、海运订舱等全链路综合物流服务。交易后，海控香港和新扬公司将分别持有合营企业51%和49%的股权，海控香港和新扬公司共同控制合营企业。</w:t>
            </w:r>
          </w:p>
        </w:tc>
      </w:tr>
      <w:tr w14:paraId="7550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 w14:paraId="2DAD6AC9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eastAsia="zh-CN" w:bidi="ar-AE"/>
              </w:rPr>
              <w:t>参与集中的经营者简介（每个限</w:t>
            </w:r>
            <w:r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  <w:t>100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  <w:t>字以内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eastAsia="zh-CN" w:bidi="ar-AE"/>
              </w:rPr>
              <w:t>）</w:t>
            </w:r>
          </w:p>
        </w:tc>
        <w:tc>
          <w:tcPr>
            <w:tcW w:w="1607" w:type="dxa"/>
            <w:noWrap w:val="0"/>
            <w:vAlign w:val="center"/>
          </w:tcPr>
          <w:p w14:paraId="2736C49A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1、海控香港</w:t>
            </w:r>
          </w:p>
        </w:tc>
        <w:tc>
          <w:tcPr>
            <w:tcW w:w="6093" w:type="dxa"/>
            <w:noWrap w:val="0"/>
            <w:vAlign w:val="center"/>
          </w:tcPr>
          <w:p w14:paraId="227E30C7">
            <w:pPr>
              <w:adjustRightInd w:val="0"/>
              <w:snapToGrid w:val="0"/>
              <w:rPr>
                <w:rFonts w:hint="eastAsia" w:ascii="宋体" w:hAnsi="宋体" w:eastAsia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</w:rPr>
              <w:t>海控香港于2017年7月6日成立于中国香港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lang w:bidi="ar-AE"/>
              </w:rPr>
              <w:t>，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</w:rPr>
              <w:t>主要从事投资控股。</w:t>
            </w:r>
          </w:p>
          <w:p w14:paraId="5A17238C">
            <w:pPr>
              <w:adjustRightInd w:val="0"/>
              <w:snapToGrid w:val="0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</w:rPr>
              <w:t>海控香港的最终控制人为</w:t>
            </w:r>
            <w:r>
              <w:rPr>
                <w:rFonts w:ascii="宋体" w:hAnsi="宋体" w:eastAsia="宋体" w:cs="宋体"/>
                <w:bCs/>
                <w:color w:val="000000"/>
                <w:sz w:val="24"/>
              </w:rPr>
              <w:t>中国远洋海运集团有限公司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</w:rPr>
              <w:t>，主要从事</w:t>
            </w:r>
            <w:r>
              <w:rPr>
                <w:rFonts w:ascii="宋体" w:hAnsi="宋体" w:eastAsia="宋体" w:cs="宋体"/>
                <w:bCs/>
                <w:color w:val="000000"/>
                <w:sz w:val="24"/>
              </w:rPr>
              <w:t>航运、物流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</w:rPr>
              <w:t>等业务。</w:t>
            </w:r>
          </w:p>
        </w:tc>
      </w:tr>
      <w:tr w14:paraId="2C85A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73DADE7C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1607" w:type="dxa"/>
            <w:noWrap w:val="0"/>
            <w:vAlign w:val="center"/>
          </w:tcPr>
          <w:p w14:paraId="2007FF7F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2、新扬公司</w:t>
            </w:r>
          </w:p>
        </w:tc>
        <w:tc>
          <w:tcPr>
            <w:tcW w:w="6093" w:type="dxa"/>
            <w:noWrap w:val="0"/>
            <w:vAlign w:val="center"/>
          </w:tcPr>
          <w:p w14:paraId="5C8CF61E">
            <w:pPr>
              <w:adjustRightInd w:val="0"/>
              <w:snapToGrid w:val="0"/>
              <w:rPr>
                <w:rFonts w:hint="eastAsia" w:ascii="宋体" w:hAnsi="宋体" w:eastAsia="宋体" w:cs="宋体"/>
                <w:bCs/>
                <w:color w:val="000000"/>
                <w:sz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lang w:bidi="ar-AE"/>
              </w:rPr>
              <w:t>新扬公司于2009年8月13日成立于中国香港，主要从事进出口贸易。</w:t>
            </w:r>
          </w:p>
          <w:p w14:paraId="43BD5F03">
            <w:pPr>
              <w:adjustRightInd w:val="0"/>
              <w:snapToGrid w:val="0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lang w:bidi="ar-AE"/>
              </w:rPr>
              <w:t>新扬公司的最终控制人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lang w:eastAsia="zh-CN" w:bidi="ar-AE"/>
              </w:rPr>
              <w:t>为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lang w:bidi="ar-AE"/>
              </w:rPr>
              <w:t>中国有色矿业集团有限公司，其主要业务为有色金属矿产资源开发、建筑工程、贸易等。</w:t>
            </w:r>
          </w:p>
        </w:tc>
      </w:tr>
      <w:tr w14:paraId="6A106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 w14:paraId="7C96E37D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eastAsia="zh-CN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597C881D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1、在同一相关市场，所有参与集中的经营者所占市场份额之和小于15%。</w:t>
            </w:r>
          </w:p>
        </w:tc>
      </w:tr>
      <w:tr w14:paraId="659AE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77DA97A1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472AA6D6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2、存在上下游关系的参与集中的经营者，在上下游市场所占的市场份额均小于25%。</w:t>
            </w:r>
          </w:p>
        </w:tc>
      </w:tr>
      <w:tr w14:paraId="4E19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531CDE73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5D738D1E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14:paraId="5A16A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7A4294F4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65AEA9C5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31C7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6B9BD328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3AFDF4C2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3AE67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 w14:paraId="34C12A9B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 w14:paraId="70013448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06664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 w14:paraId="590BF228">
            <w:pPr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 w14:paraId="36EF6828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混合集中：</w:t>
            </w:r>
          </w:p>
          <w:p w14:paraId="6DC514AF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2025年非洲-中国航线国际集装箱班轮运输服务市场</w:t>
            </w:r>
          </w:p>
          <w:p w14:paraId="1AEDB3F8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海控香港：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10-15%</w:t>
            </w:r>
          </w:p>
          <w:p w14:paraId="5C8BD1A2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2025年南非国际海上货运代理服务市场</w:t>
            </w:r>
          </w:p>
          <w:p w14:paraId="213C592F"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海控香港：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0-5%</w:t>
            </w:r>
          </w:p>
        </w:tc>
      </w:tr>
    </w:tbl>
    <w:p w14:paraId="6E7CF9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63E98"/>
    <w:rsid w:val="25F6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2026-04-15T07:40:00Z</dcterms:created>
  <dc:creator>汗青</dc:creator>
  <cp:lastModifiedBy>汗青</cp:lastModifiedBy>
  <dcterms:modified xsi:type="dcterms:W3CDTF">2026-04-15T07:40:54Z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18D1CC8593794D4B90F765006CE0A82C_11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