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91406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  <w:t>经营者集中简易案件公示表</w:t>
      </w:r>
    </w:p>
    <w:tbl>
      <w:tblPr>
        <w:tblStyle w:val="4"/>
        <w:tblW w:w="8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 w14:paraId="3E2D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</w:tcPr>
          <w:p w14:paraId="496EF23A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案件名称</w:t>
            </w:r>
          </w:p>
        </w:tc>
        <w:tc>
          <w:tcPr>
            <w:tcW w:w="6949" w:type="dxa"/>
            <w:gridSpan w:val="2"/>
          </w:tcPr>
          <w:p w14:paraId="277710E7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bookmarkStart w:id="0" w:name="_Hlk220085689"/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日本邮船株式会社收购阿文尼尔液化天然气有限公司股权案</w:t>
            </w:r>
            <w:bookmarkEnd w:id="0"/>
          </w:p>
        </w:tc>
      </w:tr>
      <w:tr w14:paraId="7BC7B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809" w:type="dxa"/>
            <w:shd w:val="clear" w:color="auto" w:fill="D9D9D9"/>
          </w:tcPr>
          <w:p w14:paraId="3399EBB0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02B51F62">
            <w:pPr>
              <w:widowControl/>
              <w:spacing w:after="0" w:line="240" w:lineRule="auto"/>
              <w:ind w:firstLine="480" w:firstLineChars="2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日本邮船株式会社（“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日本邮船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”）与思多而特燃气有限公司（“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思多而特燃气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”）签署协议，日本邮船收购阿文尼尔液化天然气有限公司（“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目标公司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”）共计50%已发行普通股股份（不含库存股）（“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本次交易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”）。目标公司主要从事LNG海运业务。交易前，思多而特燃气持有目标公司100%的股份，单独控制目标公司。交易后，日本邮船将持有目标公司50%的已发行普通股股份，日本邮船、思多而特燃气共同控制目标公司。</w:t>
            </w:r>
          </w:p>
        </w:tc>
      </w:tr>
      <w:tr w14:paraId="2FFA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809" w:type="dxa"/>
            <w:vMerge w:val="restart"/>
            <w:shd w:val="clear" w:color="auto" w:fill="D9D9D9"/>
          </w:tcPr>
          <w:p w14:paraId="50A25818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参与集中的经营者简介</w:t>
            </w:r>
          </w:p>
        </w:tc>
        <w:tc>
          <w:tcPr>
            <w:tcW w:w="1796" w:type="dxa"/>
          </w:tcPr>
          <w:p w14:paraId="7EF9655A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1. 日本邮船</w:t>
            </w:r>
          </w:p>
        </w:tc>
        <w:tc>
          <w:tcPr>
            <w:tcW w:w="5153" w:type="dxa"/>
          </w:tcPr>
          <w:p w14:paraId="7F3E9689">
            <w:pPr>
              <w:widowControl/>
              <w:spacing w:after="0" w:line="240" w:lineRule="auto"/>
              <w:ind w:firstLine="480" w:firstLineChars="2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日本邮船于1885年9月29日成立于日本，为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东京证券交易所上市公司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，主要业务为全球物流、散货航运、邮轮、房地产等。</w:t>
            </w:r>
          </w:p>
          <w:p w14:paraId="3B8F6D58">
            <w:pPr>
              <w:widowControl/>
              <w:spacing w:after="0" w:line="240" w:lineRule="auto"/>
              <w:ind w:firstLine="480" w:firstLineChars="2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日本邮船无最终控制人。</w:t>
            </w:r>
          </w:p>
        </w:tc>
      </w:tr>
      <w:tr w14:paraId="5389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1809" w:type="dxa"/>
            <w:vMerge w:val="continue"/>
            <w:shd w:val="clear" w:color="auto" w:fill="D9D9D9"/>
          </w:tcPr>
          <w:p w14:paraId="137E2927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796" w:type="dxa"/>
          </w:tcPr>
          <w:p w14:paraId="232AA47B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2.思多而特燃气</w:t>
            </w:r>
          </w:p>
          <w:p w14:paraId="1FD09F56">
            <w:pPr>
              <w:numPr>
                <w:ilvl w:val="255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strike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5153" w:type="dxa"/>
          </w:tcPr>
          <w:p w14:paraId="5066DDFB">
            <w:pPr>
              <w:widowControl/>
              <w:spacing w:after="0" w:line="240" w:lineRule="auto"/>
              <w:ind w:firstLine="480" w:firstLineChars="200"/>
              <w:jc w:val="both"/>
              <w:rPr>
                <w:rFonts w:hint="default" w:ascii="Times New Roman" w:hAnsi="Times New Roman" w:eastAsia="宋体" w:cs="Times New Roman"/>
              </w:rPr>
            </w:pPr>
            <w:bookmarkStart w:id="1" w:name="_Hlk219884383"/>
            <w:r>
              <w:rPr>
                <w:rFonts w:hint="default" w:ascii="Times New Roman" w:hAnsi="Times New Roman" w:eastAsia="宋体" w:cs="Times New Roman"/>
                <w:sz w:val="24"/>
              </w:rPr>
              <w:t>思多而特燃气于2007年4月24日成立于百慕大群岛，主要业务为液化天然气领域的投资。</w:t>
            </w:r>
          </w:p>
          <w:p w14:paraId="70563EED">
            <w:pPr>
              <w:widowControl/>
              <w:spacing w:after="0" w:line="240" w:lineRule="auto"/>
              <w:ind w:firstLine="480" w:firstLineChars="2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思多而特燃气最终控制人为思多而特-尼尔森有限公司，主要业务为全球范围内的大宗液体化学品、食用油及其他特殊液体的运输、储存和分销，以及陆上水产养殖。</w:t>
            </w:r>
            <w:bookmarkEnd w:id="1"/>
          </w:p>
        </w:tc>
      </w:tr>
      <w:tr w14:paraId="4674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809" w:type="dxa"/>
            <w:vMerge w:val="restart"/>
            <w:shd w:val="clear" w:color="auto" w:fill="D9D9D9"/>
          </w:tcPr>
          <w:p w14:paraId="499B8477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00325DF5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黑体" w:cs="Times New Roman"/>
                <w:sz w:val="24"/>
              </w:rPr>
              <w:sym w:font="Wingdings" w:char="F0FE"/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1、在同一相关市场，所有参与集中的经营者所占市场份额之和小于15%。</w:t>
            </w:r>
          </w:p>
        </w:tc>
      </w:tr>
      <w:tr w14:paraId="63579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809" w:type="dxa"/>
            <w:vMerge w:val="continue"/>
            <w:shd w:val="clear" w:color="auto" w:fill="D9D9D9"/>
          </w:tcPr>
          <w:p w14:paraId="067DA3BD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6949" w:type="dxa"/>
            <w:gridSpan w:val="2"/>
          </w:tcPr>
          <w:p w14:paraId="41D1D515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□2、存在上下游关系的参与集中的经营者，在上下游市场所占的市场份额均小于25%。</w:t>
            </w:r>
          </w:p>
        </w:tc>
      </w:tr>
      <w:tr w14:paraId="783C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09" w:type="dxa"/>
            <w:vMerge w:val="continue"/>
            <w:shd w:val="clear" w:color="auto" w:fill="D9D9D9"/>
          </w:tcPr>
          <w:p w14:paraId="599AAF01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6949" w:type="dxa"/>
            <w:gridSpan w:val="2"/>
          </w:tcPr>
          <w:p w14:paraId="2BF04840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14:paraId="1A1F9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1809" w:type="dxa"/>
            <w:vMerge w:val="continue"/>
            <w:shd w:val="clear" w:color="auto" w:fill="D9D9D9"/>
          </w:tcPr>
          <w:p w14:paraId="7CE75E22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6949" w:type="dxa"/>
            <w:gridSpan w:val="2"/>
          </w:tcPr>
          <w:p w14:paraId="3BFD2839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□4、参与集中的经营者在中国境外设立合营企业，合营企业不在中国境内从事经济活动。</w:t>
            </w:r>
          </w:p>
        </w:tc>
      </w:tr>
      <w:tr w14:paraId="5B530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809" w:type="dxa"/>
            <w:vMerge w:val="continue"/>
            <w:shd w:val="clear" w:color="auto" w:fill="D9D9D9"/>
          </w:tcPr>
          <w:p w14:paraId="6676D693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6949" w:type="dxa"/>
            <w:gridSpan w:val="2"/>
          </w:tcPr>
          <w:p w14:paraId="5EEC259B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□5、参与集中的经营者收购境外企业股权或资产的，该境外企业不在中国境内从事经济活动。</w:t>
            </w:r>
          </w:p>
        </w:tc>
      </w:tr>
      <w:tr w14:paraId="79595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809" w:type="dxa"/>
            <w:vMerge w:val="continue"/>
            <w:shd w:val="clear" w:color="auto" w:fill="D9D9D9"/>
          </w:tcPr>
          <w:p w14:paraId="2B6230A6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6949" w:type="dxa"/>
            <w:gridSpan w:val="2"/>
          </w:tcPr>
          <w:p w14:paraId="53FE758B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□6、由两个以上的经营者共同控制的合营企业，通过集中被其中一个或一个以上经营者控制。</w:t>
            </w:r>
          </w:p>
        </w:tc>
      </w:tr>
      <w:tr w14:paraId="5D4F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</w:tcPr>
          <w:p w14:paraId="7FBD605E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备注</w:t>
            </w:r>
          </w:p>
        </w:tc>
        <w:tc>
          <w:tcPr>
            <w:tcW w:w="6949" w:type="dxa"/>
            <w:gridSpan w:val="2"/>
          </w:tcPr>
          <w:p w14:paraId="526B47DE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  <w:t>横向重叠：</w:t>
            </w:r>
          </w:p>
          <w:p w14:paraId="50F671D7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2025 年全球范围不特定航线集合LNG海运市场：</w:t>
            </w:r>
          </w:p>
          <w:p w14:paraId="5E17C974">
            <w:pPr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日本邮船：0~5%，目标公司：0~5%，各方合计：5~10%</w:t>
            </w:r>
          </w:p>
        </w:tc>
      </w:tr>
    </w:tbl>
    <w:p w14:paraId="4ADAF01A">
      <w:pPr>
        <w:adjustRightInd w:val="0"/>
        <w:snapToGrid w:val="0"/>
        <w:rPr>
          <w:rFonts w:eastAsiaTheme="minorEastAsia"/>
        </w:rPr>
      </w:pPr>
    </w:p>
    <w:p w14:paraId="5264432A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017FA"/>
    <w:rsid w:val="5810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网格型1"/>
    <w:basedOn w:val="2"/>
    <w:qFormat/>
    <w:uiPriority w:val="59"/>
    <w:rPr>
      <w:rFonts w:ascii="Calibri" w:hAnsi="Calibri" w:eastAsia="宋体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2026-04-16T03:51:00Z</dcterms:created>
  <dc:creator>郑玉丽</dc:creator>
  <cp:lastModifiedBy>郑玉丽</cp:lastModifiedBy>
  <dcterms:modified xsi:type="dcterms:W3CDTF">2026-04-16T03:52:00Z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96B85FB8984D4620B9CF4972BB38B900_11</vt:lpwstr>
  </property>
  <property fmtid="{D5CDD505-2E9C-101B-9397-08002B2CF9AE}" pid="4" name="KSOTemplateDocerSaveRecord">
    <vt:lpwstr>eyJoZGlkIjoiODNjM2VkZWUwYjdkZDYzZGY2NmZiZGNiZGIyMjFjYWIiLCJ1c2VySWQiOiIxMjE0ODEzMDc5In0=</vt:lpwstr>
  </property>
</Properties>
</file>