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823E9">
      <w:pPr>
        <w:pStyle w:val="10"/>
        <w:ind w:left="0" w:leftChars="0" w:firstLine="0" w:firstLineChars="0"/>
        <w:rPr>
          <w:rFonts w:hint="default" w:ascii="Times New Roman" w:hAnsi="Times New Roman" w:eastAsia="黑体" w:cs="Times New Roman"/>
          <w:bCs w:val="0"/>
          <w:color w:val="000000"/>
          <w:kern w:val="2"/>
          <w:sz w:val="32"/>
          <w:szCs w:val="32"/>
          <w:lang w:val="en-US" w:eastAsia="zh-CN" w:bidi="ar-SA"/>
        </w:rPr>
      </w:pPr>
      <w:bookmarkStart w:id="0" w:name="_GoBack"/>
      <w:bookmarkEnd w:id="0"/>
      <w:r>
        <w:rPr>
          <w:rFonts w:hint="default" w:ascii="Times New Roman" w:hAnsi="Times New Roman" w:eastAsia="黑体" w:cs="Times New Roman"/>
          <w:bCs w:val="0"/>
          <w:color w:val="000000"/>
          <w:kern w:val="2"/>
          <w:sz w:val="32"/>
          <w:szCs w:val="32"/>
          <w:lang w:val="en-US" w:eastAsia="zh-CN" w:bidi="ar-SA"/>
        </w:rPr>
        <w:t>附件3</w:t>
      </w:r>
    </w:p>
    <w:p w14:paraId="76346EAC">
      <w:pPr>
        <w:widowControl/>
        <w:spacing w:after="240"/>
        <w:jc w:val="center"/>
        <w:rPr>
          <w:rFonts w:hint="default" w:ascii="Times New Roman" w:hAnsi="Times New Roman" w:eastAsia="方正小标宋简体" w:cs="Times New Roman"/>
          <w:bCs/>
          <w:kern w:val="0"/>
          <w:sz w:val="44"/>
          <w:szCs w:val="44"/>
          <w:lang w:val="en-GB" w:bidi="ar-AE"/>
        </w:rPr>
      </w:pPr>
      <w:r>
        <w:rPr>
          <w:rFonts w:hint="default" w:ascii="Times New Roman" w:hAnsi="Times New Roman" w:eastAsia="方正小标宋简体" w:cs="Times New Roman"/>
          <w:bCs/>
          <w:kern w:val="0"/>
          <w:sz w:val="44"/>
          <w:szCs w:val="44"/>
          <w:lang w:val="en-GB" w:bidi="ar-AE"/>
        </w:rPr>
        <w:t>经营者集中简易案件公示表</w:t>
      </w:r>
    </w:p>
    <w:tbl>
      <w:tblPr>
        <w:tblStyle w:val="11"/>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5DE24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14:paraId="2F009C8D">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rPr>
            </w:pPr>
            <w:r>
              <w:rPr>
                <w:rFonts w:hint="default" w:ascii="Times New Roman" w:hAnsi="Times New Roman" w:eastAsia="宋体" w:cs="Times New Roman"/>
                <w:b w:val="0"/>
                <w:bCs/>
                <w:color w:val="000000"/>
                <w:kern w:val="0"/>
                <w:sz w:val="24"/>
                <w:szCs w:val="24"/>
                <w:lang w:val="en-GB"/>
              </w:rPr>
              <w:t>案件名称</w:t>
            </w:r>
          </w:p>
        </w:tc>
        <w:tc>
          <w:tcPr>
            <w:tcW w:w="7700" w:type="dxa"/>
            <w:gridSpan w:val="2"/>
            <w:noWrap w:val="0"/>
            <w:vAlign w:val="center"/>
          </w:tcPr>
          <w:p w14:paraId="4F212AE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bCs/>
                <w:color w:val="000000"/>
                <w:kern w:val="0"/>
                <w:sz w:val="24"/>
                <w:lang w:bidi="ar-AE"/>
              </w:rPr>
              <w:t>广东宏业投资开发集团有限公司与广州市烨能咨询服务有限公司新设合营企业案</w:t>
            </w:r>
          </w:p>
        </w:tc>
      </w:tr>
      <w:tr w14:paraId="52D2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14:paraId="067096BA">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rPr>
            </w:pPr>
            <w:r>
              <w:rPr>
                <w:rFonts w:hint="default" w:ascii="Times New Roman" w:hAnsi="Times New Roman" w:eastAsia="宋体" w:cs="Times New Roman"/>
                <w:b w:val="0"/>
                <w:bCs/>
                <w:color w:val="000000"/>
                <w:kern w:val="0"/>
                <w:sz w:val="24"/>
                <w:szCs w:val="24"/>
                <w:lang w:val="en-GB" w:eastAsia="zh-CN"/>
              </w:rPr>
              <w:t>交易概况（限200字内）</w:t>
            </w:r>
          </w:p>
        </w:tc>
        <w:tc>
          <w:tcPr>
            <w:tcW w:w="7700" w:type="dxa"/>
            <w:gridSpan w:val="2"/>
            <w:noWrap w:val="0"/>
            <w:vAlign w:val="center"/>
          </w:tcPr>
          <w:p w14:paraId="68A8CC43">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kern w:val="0"/>
                <w:sz w:val="24"/>
                <w:szCs w:val="24"/>
                <w:lang w:val="en-GB" w:eastAsia="zh-CN" w:bidi="ar-AE"/>
              </w:rPr>
            </w:pPr>
            <w:r>
              <w:rPr>
                <w:rFonts w:hint="default" w:ascii="Times New Roman" w:hAnsi="Times New Roman" w:eastAsia="宋体" w:cs="Times New Roman"/>
                <w:kern w:val="0"/>
                <w:sz w:val="24"/>
                <w:szCs w:val="24"/>
                <w:lang w:val="en-GB" w:eastAsia="zh-CN" w:bidi="ar-AE"/>
              </w:rPr>
              <w:t>广东宏业投资开发集团有限公司（“宏业集团”）与广州市烨能咨询服务有限公司（“烨能公司”）签署协议，拟在广东省广州市新设一家合营企业，主要从事人力资源外包服务、商业物业管理服务。交易后，宏业集团和烨能公司分别持有合营企业51%和49%的股权，共同控制合营企业</w:t>
            </w:r>
          </w:p>
        </w:tc>
      </w:tr>
      <w:tr w14:paraId="4789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14:paraId="7EA8893D">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rPr>
            </w:pPr>
            <w:r>
              <w:rPr>
                <w:rFonts w:hint="default" w:ascii="Times New Roman" w:hAnsi="Times New Roman" w:eastAsia="宋体" w:cs="Times New Roman"/>
                <w:b w:val="0"/>
                <w:bCs/>
                <w:color w:val="000000"/>
                <w:kern w:val="0"/>
                <w:sz w:val="24"/>
                <w:szCs w:val="24"/>
                <w:lang w:val="en-GB" w:eastAsia="zh-CN"/>
              </w:rPr>
              <w:t>参与集中的经营者简介（每个限</w:t>
            </w:r>
            <w:r>
              <w:rPr>
                <w:rFonts w:hint="default" w:ascii="Times New Roman" w:hAnsi="Times New Roman" w:eastAsia="宋体" w:cs="Times New Roman"/>
                <w:b w:val="0"/>
                <w:bCs/>
                <w:color w:val="000000"/>
                <w:kern w:val="0"/>
                <w:sz w:val="24"/>
                <w:szCs w:val="24"/>
                <w:lang w:val="en-US" w:eastAsia="zh-CN"/>
              </w:rPr>
              <w:t>100字以内</w:t>
            </w:r>
            <w:r>
              <w:rPr>
                <w:rFonts w:hint="default" w:ascii="Times New Roman" w:hAnsi="Times New Roman" w:eastAsia="宋体" w:cs="Times New Roman"/>
                <w:b w:val="0"/>
                <w:bCs/>
                <w:color w:val="000000"/>
                <w:kern w:val="0"/>
                <w:sz w:val="24"/>
                <w:szCs w:val="24"/>
                <w:lang w:val="en-GB" w:eastAsia="zh-CN"/>
              </w:rPr>
              <w:t>）</w:t>
            </w:r>
          </w:p>
        </w:tc>
        <w:tc>
          <w:tcPr>
            <w:tcW w:w="1607" w:type="dxa"/>
            <w:noWrap w:val="0"/>
            <w:vAlign w:val="center"/>
          </w:tcPr>
          <w:p w14:paraId="690C8143">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GB" w:eastAsia="zh-CN" w:bidi="ar-AE"/>
              </w:rPr>
            </w:pPr>
            <w:r>
              <w:rPr>
                <w:rFonts w:hint="default" w:ascii="Times New Roman" w:hAnsi="Times New Roman" w:eastAsia="宋体" w:cs="Times New Roman"/>
                <w:b w:val="0"/>
                <w:bCs/>
                <w:color w:val="000000"/>
                <w:kern w:val="0"/>
                <w:sz w:val="24"/>
                <w:szCs w:val="24"/>
                <w:lang w:val="en-US" w:eastAsia="zh-CN" w:bidi="ar-AE"/>
              </w:rPr>
              <w:t>1.宏业集团</w:t>
            </w:r>
          </w:p>
        </w:tc>
        <w:tc>
          <w:tcPr>
            <w:tcW w:w="6093" w:type="dxa"/>
            <w:noWrap w:val="0"/>
            <w:vAlign w:val="center"/>
          </w:tcPr>
          <w:p w14:paraId="3BA95C7E">
            <w:pPr>
              <w:pStyle w:val="5"/>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US" w:eastAsia="zh-CN" w:bidi="ar-AE"/>
              </w:rPr>
              <w:t>宏业集团于1993年8月14日成立于广东省广州市，主要业务为输配电工程施工、综合能源服务等。</w:t>
            </w:r>
          </w:p>
          <w:p w14:paraId="15AF394C">
            <w:pPr>
              <w:pStyle w:val="5"/>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US" w:eastAsia="zh-CN" w:bidi="ar-AE"/>
              </w:rPr>
              <w:t>宏业集团最终控制人为广州市建筑集团有限公司（“广州建筑”）和中国南方电网有限责任公司（“南方电网”），广州建筑主要业务为房屋建筑工程、市政公用工程的建设施工；南方电网主要业务为南方五省区电力供应、区域电网管理、电力交易与调度业务。</w:t>
            </w:r>
          </w:p>
        </w:tc>
      </w:tr>
      <w:tr w14:paraId="1724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14:paraId="2D7BFF1B">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rPr>
            </w:pPr>
          </w:p>
        </w:tc>
        <w:tc>
          <w:tcPr>
            <w:tcW w:w="1607" w:type="dxa"/>
            <w:noWrap w:val="0"/>
            <w:vAlign w:val="center"/>
          </w:tcPr>
          <w:p w14:paraId="3BBD6433">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GB" w:eastAsia="zh-CN" w:bidi="ar-AE"/>
              </w:rPr>
            </w:pPr>
            <w:r>
              <w:rPr>
                <w:rFonts w:hint="default" w:ascii="Times New Roman" w:hAnsi="Times New Roman" w:eastAsia="宋体" w:cs="Times New Roman"/>
                <w:b w:val="0"/>
                <w:bCs/>
                <w:color w:val="000000"/>
                <w:kern w:val="0"/>
                <w:sz w:val="24"/>
                <w:szCs w:val="24"/>
                <w:lang w:val="en-US" w:eastAsia="zh-CN" w:bidi="ar-AE"/>
              </w:rPr>
              <w:t>2.</w:t>
            </w:r>
            <w:r>
              <w:rPr>
                <w:rFonts w:hint="default" w:ascii="Times New Roman" w:hAnsi="Times New Roman" w:eastAsia="宋体" w:cs="Times New Roman"/>
                <w:b w:val="0"/>
                <w:bCs/>
                <w:color w:val="000000"/>
                <w:kern w:val="0"/>
                <w:sz w:val="24"/>
                <w:szCs w:val="24"/>
                <w:lang w:val="en-GB" w:eastAsia="zh-CN" w:bidi="ar-AE"/>
              </w:rPr>
              <w:t>烨能公司</w:t>
            </w:r>
          </w:p>
        </w:tc>
        <w:tc>
          <w:tcPr>
            <w:tcW w:w="6093" w:type="dxa"/>
            <w:noWrap w:val="0"/>
            <w:vAlign w:val="center"/>
          </w:tcPr>
          <w:p w14:paraId="56E9166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US" w:eastAsia="zh-CN" w:bidi="ar-AE"/>
              </w:rPr>
              <w:t>烨能公司于2005年7月20日成立于广东省广州市，主要业务为人力资源外包服务、物业管理服务和电力设备监造服务。</w:t>
            </w:r>
          </w:p>
          <w:p w14:paraId="37A37AE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GB" w:eastAsia="zh-CN" w:bidi="ar-AE"/>
              </w:rPr>
            </w:pPr>
            <w:r>
              <w:rPr>
                <w:rFonts w:hint="default" w:ascii="Times New Roman" w:hAnsi="Times New Roman" w:eastAsia="宋体" w:cs="Times New Roman"/>
                <w:b w:val="0"/>
                <w:bCs/>
                <w:color w:val="000000"/>
                <w:kern w:val="0"/>
                <w:sz w:val="24"/>
                <w:szCs w:val="24"/>
                <w:lang w:val="en-US" w:eastAsia="zh-CN" w:bidi="ar-AE"/>
              </w:rPr>
              <w:t>烨能公司最终控制人为南方电网，主要业务如上所述。</w:t>
            </w:r>
          </w:p>
        </w:tc>
      </w:tr>
      <w:tr w14:paraId="2BD8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14:paraId="1AC7494E">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rPr>
            </w:pPr>
            <w:r>
              <w:rPr>
                <w:rFonts w:hint="default" w:ascii="Times New Roman" w:hAnsi="Times New Roman" w:eastAsia="宋体" w:cs="Times New Roman"/>
                <w:b w:val="0"/>
                <w:bCs/>
                <w:color w:val="000000"/>
                <w:kern w:val="0"/>
                <w:sz w:val="24"/>
                <w:szCs w:val="24"/>
                <w:lang w:val="en-GB" w:eastAsia="zh-CN"/>
              </w:rPr>
              <w:t>简易案件理由（可以单选，也可以多选）</w:t>
            </w:r>
          </w:p>
        </w:tc>
        <w:tc>
          <w:tcPr>
            <w:tcW w:w="7700" w:type="dxa"/>
            <w:gridSpan w:val="2"/>
            <w:noWrap w:val="0"/>
            <w:vAlign w:val="center"/>
          </w:tcPr>
          <w:p w14:paraId="7A2621E8">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FE"/>
            </w:r>
            <w:r>
              <w:rPr>
                <w:rFonts w:hint="default" w:ascii="Times New Roman" w:hAnsi="Times New Roman" w:eastAsia="宋体" w:cs="Times New Roman"/>
                <w:b w:val="0"/>
                <w:bCs/>
                <w:color w:val="000000"/>
                <w:kern w:val="0"/>
                <w:sz w:val="24"/>
                <w:szCs w:val="24"/>
                <w:lang w:val="en-GB" w:eastAsia="zh-CN" w:bidi="ar-AE"/>
              </w:rPr>
              <w:t xml:space="preserve"> 1</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在同一相关市场，参与集中的经营者所占的市场份额之和小于15%。</w:t>
            </w:r>
          </w:p>
        </w:tc>
      </w:tr>
      <w:tr w14:paraId="5CAD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14:paraId="6FD08A7B">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rPr>
            </w:pPr>
          </w:p>
        </w:tc>
        <w:tc>
          <w:tcPr>
            <w:tcW w:w="7700" w:type="dxa"/>
            <w:gridSpan w:val="2"/>
            <w:noWrap w:val="0"/>
            <w:vAlign w:val="center"/>
          </w:tcPr>
          <w:p w14:paraId="70C8D2F4">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A8"/>
            </w:r>
            <w:r>
              <w:rPr>
                <w:rFonts w:hint="default" w:ascii="Times New Roman" w:hAnsi="Times New Roman" w:eastAsia="宋体" w:cs="Times New Roman"/>
                <w:b w:val="0"/>
                <w:bCs/>
                <w:color w:val="000000"/>
                <w:kern w:val="0"/>
                <w:sz w:val="24"/>
                <w:szCs w:val="24"/>
                <w:lang w:val="en-GB" w:eastAsia="zh-CN" w:bidi="ar-AE"/>
              </w:rPr>
              <w:t xml:space="preserve"> 2</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在上下游市场，参与集中的经营者所占的市场份额均小于25%。</w:t>
            </w:r>
          </w:p>
        </w:tc>
      </w:tr>
      <w:tr w14:paraId="0915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14:paraId="5F3A8F2C">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rPr>
            </w:pPr>
          </w:p>
        </w:tc>
        <w:tc>
          <w:tcPr>
            <w:tcW w:w="7700" w:type="dxa"/>
            <w:gridSpan w:val="2"/>
            <w:noWrap w:val="0"/>
            <w:vAlign w:val="center"/>
          </w:tcPr>
          <w:p w14:paraId="3BAF66FD">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FE"/>
            </w:r>
            <w:r>
              <w:rPr>
                <w:rFonts w:hint="default" w:ascii="Times New Roman" w:hAnsi="Times New Roman" w:eastAsia="宋体" w:cs="Times New Roman"/>
                <w:b w:val="0"/>
                <w:bCs/>
                <w:color w:val="000000"/>
                <w:kern w:val="0"/>
                <w:sz w:val="24"/>
                <w:szCs w:val="24"/>
                <w:lang w:val="en-GB" w:eastAsia="zh-CN" w:bidi="ar-AE"/>
              </w:rPr>
              <w:t xml:space="preserve"> 3</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不在同一相关市场也不存在上下游关系的参与集中的经营者，在与交易有关的每个市场所占的市场份额均小于25%。</w:t>
            </w:r>
          </w:p>
        </w:tc>
      </w:tr>
      <w:tr w14:paraId="14A9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14:paraId="395CDC09">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rPr>
            </w:pPr>
          </w:p>
        </w:tc>
        <w:tc>
          <w:tcPr>
            <w:tcW w:w="7700" w:type="dxa"/>
            <w:gridSpan w:val="2"/>
            <w:noWrap w:val="0"/>
            <w:vAlign w:val="center"/>
          </w:tcPr>
          <w:p w14:paraId="1D67978F">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A8"/>
            </w:r>
            <w:r>
              <w:rPr>
                <w:rFonts w:hint="default" w:ascii="Times New Roman" w:hAnsi="Times New Roman" w:eastAsia="宋体" w:cs="Times New Roman"/>
                <w:b w:val="0"/>
                <w:bCs/>
                <w:color w:val="000000"/>
                <w:kern w:val="0"/>
                <w:sz w:val="24"/>
                <w:szCs w:val="24"/>
                <w:lang w:val="en-GB" w:eastAsia="zh-CN" w:bidi="ar-AE"/>
              </w:rPr>
              <w:t xml:space="preserve"> 4</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参与集中的经营者在中国境外设立合营企业，合营企业不在中国境内从事经济活动。</w:t>
            </w:r>
          </w:p>
        </w:tc>
      </w:tr>
      <w:tr w14:paraId="0FD98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14:paraId="35F26F04">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rPr>
            </w:pPr>
          </w:p>
        </w:tc>
        <w:tc>
          <w:tcPr>
            <w:tcW w:w="7700" w:type="dxa"/>
            <w:gridSpan w:val="2"/>
            <w:noWrap w:val="0"/>
            <w:vAlign w:val="center"/>
          </w:tcPr>
          <w:p w14:paraId="57AC4D26">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A8"/>
            </w:r>
            <w:r>
              <w:rPr>
                <w:rFonts w:hint="default" w:ascii="Times New Roman" w:hAnsi="Times New Roman" w:eastAsia="宋体" w:cs="Times New Roman"/>
                <w:b w:val="0"/>
                <w:bCs/>
                <w:color w:val="000000"/>
                <w:kern w:val="0"/>
                <w:sz w:val="24"/>
                <w:szCs w:val="24"/>
                <w:lang w:val="en-GB" w:eastAsia="zh-CN" w:bidi="ar-AE"/>
              </w:rPr>
              <w:t xml:space="preserve"> 5</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参与集中的经营者收购境外企业股权或资产的，该境外企业不在中国境内从事经济活动。</w:t>
            </w:r>
          </w:p>
        </w:tc>
      </w:tr>
      <w:tr w14:paraId="223D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14:paraId="493FD6E2">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rPr>
            </w:pPr>
          </w:p>
        </w:tc>
        <w:tc>
          <w:tcPr>
            <w:tcW w:w="7700" w:type="dxa"/>
            <w:gridSpan w:val="2"/>
            <w:noWrap w:val="0"/>
            <w:vAlign w:val="center"/>
          </w:tcPr>
          <w:p w14:paraId="3FB11A66">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GB" w:eastAsia="zh-CN" w:bidi="ar-AE"/>
              </w:rPr>
              <w:sym w:font="Wingdings" w:char="00A8"/>
            </w:r>
            <w:r>
              <w:rPr>
                <w:rFonts w:hint="default" w:ascii="Times New Roman" w:hAnsi="Times New Roman" w:eastAsia="宋体" w:cs="Times New Roman"/>
                <w:b w:val="0"/>
                <w:bCs/>
                <w:color w:val="000000"/>
                <w:kern w:val="0"/>
                <w:sz w:val="24"/>
                <w:szCs w:val="24"/>
                <w:lang w:val="en-GB" w:eastAsia="zh-CN" w:bidi="ar-AE"/>
              </w:rPr>
              <w:t xml:space="preserve"> 6</w:t>
            </w:r>
            <w:r>
              <w:rPr>
                <w:rFonts w:hint="default" w:ascii="Times New Roman" w:hAnsi="Times New Roman" w:eastAsia="宋体" w:cs="Times New Roman"/>
                <w:b w:val="0"/>
                <w:bCs/>
                <w:color w:val="000000"/>
                <w:kern w:val="0"/>
                <w:sz w:val="24"/>
                <w:szCs w:val="24"/>
                <w:lang w:val="en-US" w:eastAsia="zh-CN" w:bidi="ar-AE"/>
              </w:rPr>
              <w:t>.</w:t>
            </w:r>
            <w:r>
              <w:rPr>
                <w:rFonts w:hint="default" w:ascii="Times New Roman" w:hAnsi="Times New Roman" w:eastAsia="宋体" w:cs="Times New Roman"/>
                <w:b w:val="0"/>
                <w:bCs/>
                <w:color w:val="000000"/>
                <w:kern w:val="0"/>
                <w:sz w:val="24"/>
                <w:szCs w:val="24"/>
                <w:lang w:val="en-GB" w:eastAsia="zh-CN" w:bidi="ar-AE"/>
              </w:rPr>
              <w:t>由两个以上的经营者共同控制的合营企业，通过集中被其中一个或一个以上经营者控制。</w:t>
            </w:r>
          </w:p>
        </w:tc>
      </w:tr>
      <w:tr w14:paraId="37166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14:paraId="071BF62F">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rPr>
            </w:pPr>
            <w:r>
              <w:rPr>
                <w:rFonts w:hint="default" w:ascii="Times New Roman" w:hAnsi="Times New Roman" w:eastAsia="宋体" w:cs="Times New Roman"/>
                <w:b w:val="0"/>
                <w:bCs/>
                <w:color w:val="000000"/>
                <w:kern w:val="0"/>
                <w:sz w:val="24"/>
                <w:szCs w:val="24"/>
                <w:lang w:val="en-US" w:eastAsia="zh-CN"/>
              </w:rPr>
              <w:t>备注</w:t>
            </w:r>
          </w:p>
        </w:tc>
        <w:tc>
          <w:tcPr>
            <w:tcW w:w="7700" w:type="dxa"/>
            <w:gridSpan w:val="2"/>
            <w:noWrap w:val="0"/>
            <w:vAlign w:val="center"/>
          </w:tcPr>
          <w:p w14:paraId="7DCE51D2">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bCs w:val="0"/>
                <w:color w:val="000000"/>
                <w:kern w:val="0"/>
                <w:sz w:val="24"/>
                <w:szCs w:val="24"/>
                <w:lang w:val="en-GB" w:eastAsia="zh-CN" w:bidi="ar-AE"/>
              </w:rPr>
            </w:pPr>
            <w:r>
              <w:rPr>
                <w:rFonts w:hint="default" w:ascii="Times New Roman" w:hAnsi="Times New Roman" w:eastAsia="宋体" w:cs="Times New Roman"/>
                <w:b/>
                <w:bCs w:val="0"/>
                <w:color w:val="000000"/>
                <w:kern w:val="0"/>
                <w:sz w:val="24"/>
                <w:szCs w:val="24"/>
                <w:lang w:val="en-GB" w:eastAsia="zh-CN" w:bidi="ar-AE"/>
              </w:rPr>
              <w:t>横向重叠：</w:t>
            </w:r>
          </w:p>
          <w:p w14:paraId="0CBABC7D">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cs="Times New Roman"/>
                <w:b w:val="0"/>
                <w:bCs/>
                <w:color w:val="000000"/>
                <w:kern w:val="0"/>
                <w:sz w:val="24"/>
                <w:szCs w:val="24"/>
                <w:lang w:val="en-US" w:eastAsia="zh-CN" w:bidi="ar-AE"/>
              </w:rPr>
              <w:t>2</w:t>
            </w:r>
            <w:r>
              <w:rPr>
                <w:rFonts w:hint="default" w:ascii="Times New Roman" w:hAnsi="Times New Roman" w:eastAsia="宋体" w:cs="Times New Roman"/>
                <w:b w:val="0"/>
                <w:bCs/>
                <w:color w:val="000000"/>
                <w:kern w:val="0"/>
                <w:sz w:val="24"/>
                <w:szCs w:val="24"/>
                <w:lang w:val="en-US" w:eastAsia="zh-CN" w:bidi="ar-AE"/>
              </w:rPr>
              <w:t>024年广州市商业物业管理服务市场：</w:t>
            </w:r>
          </w:p>
          <w:p w14:paraId="6B6CC83A">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cs="Times New Roman"/>
                <w:b w:val="0"/>
                <w:bCs/>
                <w:color w:val="000000"/>
                <w:kern w:val="0"/>
                <w:sz w:val="24"/>
                <w:szCs w:val="24"/>
                <w:lang w:val="en-US" w:eastAsia="zh-CN" w:bidi="ar-AE"/>
              </w:rPr>
              <w:t>宏业集团</w:t>
            </w:r>
            <w:r>
              <w:rPr>
                <w:rFonts w:hint="default" w:ascii="Times New Roman" w:hAnsi="Times New Roman" w:eastAsia="宋体" w:cs="Times New Roman"/>
                <w:b w:val="0"/>
                <w:bCs/>
                <w:color w:val="000000"/>
                <w:kern w:val="0"/>
                <w:sz w:val="24"/>
                <w:szCs w:val="24"/>
                <w:lang w:val="en-US" w:eastAsia="zh-CN" w:bidi="ar-AE"/>
              </w:rPr>
              <w:t>：0</w:t>
            </w:r>
            <w:r>
              <w:rPr>
                <w:rFonts w:hint="default" w:ascii="Times New Roman" w:hAnsi="Times New Roman" w:eastAsia="宋体" w:cs="Times New Roman"/>
                <w:bCs/>
                <w:color w:val="000000"/>
                <w:kern w:val="0"/>
                <w:sz w:val="24"/>
                <w:lang w:bidi="ar-AE"/>
              </w:rPr>
              <w:t>～</w:t>
            </w:r>
            <w:r>
              <w:rPr>
                <w:rFonts w:hint="default" w:ascii="Times New Roman" w:hAnsi="Times New Roman" w:eastAsia="宋体" w:cs="Times New Roman"/>
                <w:b w:val="0"/>
                <w:bCs/>
                <w:color w:val="000000"/>
                <w:kern w:val="0"/>
                <w:sz w:val="24"/>
                <w:szCs w:val="24"/>
                <w:lang w:val="en-US" w:eastAsia="zh-CN" w:bidi="ar-AE"/>
              </w:rPr>
              <w:t>5%，</w:t>
            </w:r>
            <w:r>
              <w:rPr>
                <w:rFonts w:hint="default" w:ascii="Times New Roman" w:hAnsi="Times New Roman" w:cs="Times New Roman"/>
                <w:b w:val="0"/>
                <w:bCs/>
                <w:color w:val="000000"/>
                <w:kern w:val="0"/>
                <w:sz w:val="24"/>
                <w:szCs w:val="24"/>
                <w:lang w:val="en-US" w:eastAsia="zh-CN" w:bidi="ar-AE"/>
              </w:rPr>
              <w:t>烨能公司</w:t>
            </w:r>
            <w:r>
              <w:rPr>
                <w:rFonts w:hint="default" w:ascii="Times New Roman" w:hAnsi="Times New Roman" w:eastAsia="宋体" w:cs="Times New Roman"/>
                <w:b w:val="0"/>
                <w:bCs/>
                <w:color w:val="000000"/>
                <w:kern w:val="0"/>
                <w:sz w:val="24"/>
                <w:szCs w:val="24"/>
                <w:lang w:val="en-US" w:eastAsia="zh-CN" w:bidi="ar-AE"/>
              </w:rPr>
              <w:t>: 0</w:t>
            </w:r>
            <w:r>
              <w:rPr>
                <w:rFonts w:hint="default" w:ascii="Times New Roman" w:hAnsi="Times New Roman" w:eastAsia="宋体" w:cs="Times New Roman"/>
                <w:bCs/>
                <w:color w:val="000000"/>
                <w:kern w:val="0"/>
                <w:sz w:val="24"/>
                <w:lang w:bidi="ar-AE"/>
              </w:rPr>
              <w:t>～</w:t>
            </w:r>
            <w:r>
              <w:rPr>
                <w:rFonts w:hint="default" w:ascii="Times New Roman" w:hAnsi="Times New Roman" w:eastAsia="宋体" w:cs="Times New Roman"/>
                <w:b w:val="0"/>
                <w:bCs/>
                <w:color w:val="000000"/>
                <w:kern w:val="0"/>
                <w:sz w:val="24"/>
                <w:szCs w:val="24"/>
                <w:lang w:val="en-US" w:eastAsia="zh-CN" w:bidi="ar-AE"/>
              </w:rPr>
              <w:t>5%，各方合计：0</w:t>
            </w:r>
            <w:r>
              <w:rPr>
                <w:rFonts w:hint="default" w:ascii="Times New Roman" w:hAnsi="Times New Roman" w:eastAsia="宋体" w:cs="Times New Roman"/>
                <w:bCs/>
                <w:color w:val="000000"/>
                <w:kern w:val="0"/>
                <w:sz w:val="24"/>
                <w:lang w:bidi="ar-AE"/>
              </w:rPr>
              <w:t>～</w:t>
            </w:r>
            <w:r>
              <w:rPr>
                <w:rFonts w:hint="default" w:ascii="Times New Roman" w:hAnsi="Times New Roman" w:eastAsia="宋体" w:cs="Times New Roman"/>
                <w:b w:val="0"/>
                <w:bCs/>
                <w:color w:val="000000"/>
                <w:kern w:val="0"/>
                <w:sz w:val="24"/>
                <w:szCs w:val="24"/>
                <w:lang w:val="en-US" w:eastAsia="zh-CN" w:bidi="ar-AE"/>
              </w:rPr>
              <w:t>5%</w:t>
            </w:r>
          </w:p>
          <w:p w14:paraId="1C465E1B">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p>
          <w:p w14:paraId="40E0FA22">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bCs w:val="0"/>
                <w:color w:val="000000"/>
                <w:kern w:val="0"/>
                <w:sz w:val="24"/>
                <w:szCs w:val="24"/>
                <w:lang w:val="en-GB" w:eastAsia="zh-CN" w:bidi="ar-AE"/>
              </w:rPr>
            </w:pPr>
            <w:r>
              <w:rPr>
                <w:rFonts w:hint="default" w:ascii="Times New Roman" w:hAnsi="Times New Roman" w:cs="Times New Roman"/>
                <w:b/>
                <w:bCs w:val="0"/>
                <w:color w:val="000000"/>
                <w:kern w:val="0"/>
                <w:sz w:val="24"/>
                <w:szCs w:val="24"/>
                <w:lang w:val="en-US" w:eastAsia="zh-CN" w:bidi="ar-AE"/>
              </w:rPr>
              <w:t>混合集中</w:t>
            </w:r>
            <w:r>
              <w:rPr>
                <w:rFonts w:hint="default" w:ascii="Times New Roman" w:hAnsi="Times New Roman" w:eastAsia="宋体" w:cs="Times New Roman"/>
                <w:b/>
                <w:bCs w:val="0"/>
                <w:color w:val="000000"/>
                <w:kern w:val="0"/>
                <w:sz w:val="24"/>
                <w:szCs w:val="24"/>
                <w:lang w:val="en-GB" w:eastAsia="zh-CN" w:bidi="ar-AE"/>
              </w:rPr>
              <w:t>：</w:t>
            </w:r>
          </w:p>
          <w:p w14:paraId="72A6C088">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US" w:eastAsia="zh-CN" w:bidi="ar-AE"/>
              </w:rPr>
              <w:t>2024年中国境内人力资源外包服务市场：</w:t>
            </w:r>
          </w:p>
          <w:p w14:paraId="7AFEC27B">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cs="Times New Roman"/>
                <w:b w:val="0"/>
                <w:bCs/>
                <w:color w:val="000000"/>
                <w:kern w:val="0"/>
                <w:sz w:val="24"/>
                <w:szCs w:val="24"/>
                <w:lang w:val="en-US" w:eastAsia="zh-CN" w:bidi="ar-AE"/>
              </w:rPr>
              <w:t>烨能公司</w:t>
            </w:r>
            <w:r>
              <w:rPr>
                <w:rFonts w:hint="default" w:ascii="Times New Roman" w:hAnsi="Times New Roman" w:eastAsia="宋体" w:cs="Times New Roman"/>
                <w:b w:val="0"/>
                <w:bCs/>
                <w:color w:val="000000"/>
                <w:kern w:val="0"/>
                <w:sz w:val="24"/>
                <w:szCs w:val="24"/>
                <w:lang w:val="en-US" w:eastAsia="zh-CN" w:bidi="ar-AE"/>
              </w:rPr>
              <w:t>: 0</w:t>
            </w:r>
            <w:r>
              <w:rPr>
                <w:rFonts w:hint="default" w:ascii="Times New Roman" w:hAnsi="Times New Roman" w:eastAsia="宋体" w:cs="Times New Roman"/>
                <w:bCs/>
                <w:color w:val="000000"/>
                <w:kern w:val="0"/>
                <w:sz w:val="24"/>
                <w:lang w:bidi="ar-AE"/>
              </w:rPr>
              <w:t>～</w:t>
            </w:r>
            <w:r>
              <w:rPr>
                <w:rFonts w:hint="default" w:ascii="Times New Roman" w:hAnsi="Times New Roman" w:eastAsia="宋体" w:cs="Times New Roman"/>
                <w:b w:val="0"/>
                <w:bCs/>
                <w:color w:val="000000"/>
                <w:kern w:val="0"/>
                <w:sz w:val="24"/>
                <w:szCs w:val="24"/>
                <w:lang w:val="en-US" w:eastAsia="zh-CN" w:bidi="ar-AE"/>
              </w:rPr>
              <w:t>5%</w:t>
            </w:r>
          </w:p>
          <w:p w14:paraId="4C79677A">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p>
        </w:tc>
      </w:tr>
    </w:tbl>
    <w:p w14:paraId="336DE947">
      <w:pPr>
        <w:pStyle w:val="3"/>
        <w:rPr>
          <w:rFonts w:hint="default"/>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34"/>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E9C9C">
    <w:pPr>
      <w:pStyle w:val="6"/>
      <w:tabs>
        <w:tab w:val="clear" w:pos="4153"/>
      </w:tabs>
    </w:pPr>
    <w:r>
      <w:rPr>
        <w:rFonts w:hint="eastAsia"/>
        <w:lang w:eastAsia="zh-CN"/>
      </w:rP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2893A17"/>
    <w:rsid w:val="030806B1"/>
    <w:rsid w:val="03215991"/>
    <w:rsid w:val="03490091"/>
    <w:rsid w:val="03D70EC9"/>
    <w:rsid w:val="04B425C4"/>
    <w:rsid w:val="04B85AFF"/>
    <w:rsid w:val="05AB50DB"/>
    <w:rsid w:val="06075F29"/>
    <w:rsid w:val="072729B8"/>
    <w:rsid w:val="07D6476B"/>
    <w:rsid w:val="083E2258"/>
    <w:rsid w:val="087232C3"/>
    <w:rsid w:val="08D6542E"/>
    <w:rsid w:val="08ED34FD"/>
    <w:rsid w:val="093446A7"/>
    <w:rsid w:val="0AF22185"/>
    <w:rsid w:val="0B1835C3"/>
    <w:rsid w:val="0B63273E"/>
    <w:rsid w:val="0B76654F"/>
    <w:rsid w:val="0BD91CE7"/>
    <w:rsid w:val="0C6B60D7"/>
    <w:rsid w:val="0CF45A62"/>
    <w:rsid w:val="0D7FCEE7"/>
    <w:rsid w:val="0DE526A7"/>
    <w:rsid w:val="0E087385"/>
    <w:rsid w:val="0E5C7E9D"/>
    <w:rsid w:val="0EEC791B"/>
    <w:rsid w:val="0F272A69"/>
    <w:rsid w:val="0FA436B7"/>
    <w:rsid w:val="0FBBC6D8"/>
    <w:rsid w:val="10C02711"/>
    <w:rsid w:val="1295728D"/>
    <w:rsid w:val="12ED74AA"/>
    <w:rsid w:val="130B6D76"/>
    <w:rsid w:val="13236AF1"/>
    <w:rsid w:val="13807690"/>
    <w:rsid w:val="13D6674E"/>
    <w:rsid w:val="150C1E94"/>
    <w:rsid w:val="15D94F21"/>
    <w:rsid w:val="15E47716"/>
    <w:rsid w:val="1680064E"/>
    <w:rsid w:val="17436509"/>
    <w:rsid w:val="181569E7"/>
    <w:rsid w:val="187C2796"/>
    <w:rsid w:val="1AA11230"/>
    <w:rsid w:val="1B2D6269"/>
    <w:rsid w:val="1BF9394B"/>
    <w:rsid w:val="1BF9AB71"/>
    <w:rsid w:val="1C361957"/>
    <w:rsid w:val="1D086B7C"/>
    <w:rsid w:val="1DA24124"/>
    <w:rsid w:val="1DFA68EF"/>
    <w:rsid w:val="1DFE30C6"/>
    <w:rsid w:val="1FC81833"/>
    <w:rsid w:val="20C2797E"/>
    <w:rsid w:val="20D51217"/>
    <w:rsid w:val="215B059A"/>
    <w:rsid w:val="24606B41"/>
    <w:rsid w:val="246736EB"/>
    <w:rsid w:val="24840815"/>
    <w:rsid w:val="25C17900"/>
    <w:rsid w:val="261144B9"/>
    <w:rsid w:val="27B435B3"/>
    <w:rsid w:val="27ED6C10"/>
    <w:rsid w:val="281C288D"/>
    <w:rsid w:val="289A6D28"/>
    <w:rsid w:val="2B795B9C"/>
    <w:rsid w:val="2C0C7CCC"/>
    <w:rsid w:val="2CAC25FF"/>
    <w:rsid w:val="2DA61BF1"/>
    <w:rsid w:val="2ECF569F"/>
    <w:rsid w:val="2F0902B7"/>
    <w:rsid w:val="3025112D"/>
    <w:rsid w:val="319E78FD"/>
    <w:rsid w:val="326E3FCD"/>
    <w:rsid w:val="330931E4"/>
    <w:rsid w:val="339B1A7D"/>
    <w:rsid w:val="34527864"/>
    <w:rsid w:val="356065C1"/>
    <w:rsid w:val="35741F7B"/>
    <w:rsid w:val="35927D49"/>
    <w:rsid w:val="35A45109"/>
    <w:rsid w:val="36647739"/>
    <w:rsid w:val="36722108"/>
    <w:rsid w:val="37736187"/>
    <w:rsid w:val="37EC4B4C"/>
    <w:rsid w:val="3A7D25F4"/>
    <w:rsid w:val="3B6C128B"/>
    <w:rsid w:val="3B7505CA"/>
    <w:rsid w:val="3BF42FA2"/>
    <w:rsid w:val="3C1B3849"/>
    <w:rsid w:val="3DBE0E38"/>
    <w:rsid w:val="3DCF2C73"/>
    <w:rsid w:val="3E3B322A"/>
    <w:rsid w:val="3EB73502"/>
    <w:rsid w:val="3EB7365E"/>
    <w:rsid w:val="3EBE2D3F"/>
    <w:rsid w:val="3ED7D01C"/>
    <w:rsid w:val="3EE73D98"/>
    <w:rsid w:val="3EFC27AE"/>
    <w:rsid w:val="3FFE9FFB"/>
    <w:rsid w:val="3FFFF7A9"/>
    <w:rsid w:val="40D7777E"/>
    <w:rsid w:val="41D779C0"/>
    <w:rsid w:val="426F1F40"/>
    <w:rsid w:val="436E421B"/>
    <w:rsid w:val="43E353FE"/>
    <w:rsid w:val="45E92E66"/>
    <w:rsid w:val="46845245"/>
    <w:rsid w:val="46F216C3"/>
    <w:rsid w:val="48567BBA"/>
    <w:rsid w:val="48604985"/>
    <w:rsid w:val="48C332AF"/>
    <w:rsid w:val="49857111"/>
    <w:rsid w:val="498A72A0"/>
    <w:rsid w:val="49DD6CEB"/>
    <w:rsid w:val="4C4E7521"/>
    <w:rsid w:val="4C824703"/>
    <w:rsid w:val="4CC01CF8"/>
    <w:rsid w:val="4CC545E7"/>
    <w:rsid w:val="4CFD75DE"/>
    <w:rsid w:val="4D533669"/>
    <w:rsid w:val="4D611881"/>
    <w:rsid w:val="4DB67BAD"/>
    <w:rsid w:val="4DBF710D"/>
    <w:rsid w:val="4DDB0C16"/>
    <w:rsid w:val="4E585190"/>
    <w:rsid w:val="4E626EA5"/>
    <w:rsid w:val="4F7D0643"/>
    <w:rsid w:val="4FF71711"/>
    <w:rsid w:val="4FF92653"/>
    <w:rsid w:val="4FFE4A4F"/>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737FFAD"/>
    <w:rsid w:val="5A320350"/>
    <w:rsid w:val="5A4E1134"/>
    <w:rsid w:val="5A8F5421"/>
    <w:rsid w:val="5AB377AC"/>
    <w:rsid w:val="5ADB7A9F"/>
    <w:rsid w:val="5B3BD02C"/>
    <w:rsid w:val="5BDF7AA8"/>
    <w:rsid w:val="5BF7146E"/>
    <w:rsid w:val="5CA801FE"/>
    <w:rsid w:val="5CC770F3"/>
    <w:rsid w:val="5D381793"/>
    <w:rsid w:val="5D7B194B"/>
    <w:rsid w:val="5E606197"/>
    <w:rsid w:val="5E758AD3"/>
    <w:rsid w:val="5F5B3889"/>
    <w:rsid w:val="5F644A5B"/>
    <w:rsid w:val="5F7404E1"/>
    <w:rsid w:val="5F7BBE1B"/>
    <w:rsid w:val="5FDC5D9A"/>
    <w:rsid w:val="5FEF2D0D"/>
    <w:rsid w:val="60B85CFA"/>
    <w:rsid w:val="61AC7C2D"/>
    <w:rsid w:val="61F32521"/>
    <w:rsid w:val="6229E334"/>
    <w:rsid w:val="63F6661D"/>
    <w:rsid w:val="64920EED"/>
    <w:rsid w:val="64F94FB6"/>
    <w:rsid w:val="64FF0119"/>
    <w:rsid w:val="650C61D5"/>
    <w:rsid w:val="65183212"/>
    <w:rsid w:val="65AC0421"/>
    <w:rsid w:val="66AA099A"/>
    <w:rsid w:val="66E53709"/>
    <w:rsid w:val="67090219"/>
    <w:rsid w:val="672136C2"/>
    <w:rsid w:val="6754015D"/>
    <w:rsid w:val="67885F66"/>
    <w:rsid w:val="67D469E8"/>
    <w:rsid w:val="685D233B"/>
    <w:rsid w:val="68B02553"/>
    <w:rsid w:val="6911159A"/>
    <w:rsid w:val="69961B9A"/>
    <w:rsid w:val="69C0748D"/>
    <w:rsid w:val="6A0C0F86"/>
    <w:rsid w:val="6A7D30C3"/>
    <w:rsid w:val="6B9261CD"/>
    <w:rsid w:val="6B9A71CB"/>
    <w:rsid w:val="6BCB1BF4"/>
    <w:rsid w:val="6BCC0CB3"/>
    <w:rsid w:val="6C45316D"/>
    <w:rsid w:val="6CBF87B4"/>
    <w:rsid w:val="6DED96DF"/>
    <w:rsid w:val="6DEFBAE0"/>
    <w:rsid w:val="6E372E5F"/>
    <w:rsid w:val="6E786ABC"/>
    <w:rsid w:val="6FDF5799"/>
    <w:rsid w:val="6FF54640"/>
    <w:rsid w:val="710A7485"/>
    <w:rsid w:val="71394751"/>
    <w:rsid w:val="71612B4D"/>
    <w:rsid w:val="72131803"/>
    <w:rsid w:val="723024E6"/>
    <w:rsid w:val="73026B48"/>
    <w:rsid w:val="74566BED"/>
    <w:rsid w:val="74CE550B"/>
    <w:rsid w:val="75DE2E1F"/>
    <w:rsid w:val="75FC6A6F"/>
    <w:rsid w:val="767FE0B3"/>
    <w:rsid w:val="76CA40F3"/>
    <w:rsid w:val="77527FDF"/>
    <w:rsid w:val="77903967"/>
    <w:rsid w:val="77FFCFC3"/>
    <w:rsid w:val="78410251"/>
    <w:rsid w:val="785A2CB0"/>
    <w:rsid w:val="786F0C92"/>
    <w:rsid w:val="793156FC"/>
    <w:rsid w:val="793FB7A1"/>
    <w:rsid w:val="7A9C06E1"/>
    <w:rsid w:val="7AB91678"/>
    <w:rsid w:val="7B8F578C"/>
    <w:rsid w:val="7B9A66EF"/>
    <w:rsid w:val="7BE411F0"/>
    <w:rsid w:val="7BEF0283"/>
    <w:rsid w:val="7BFFD823"/>
    <w:rsid w:val="7C7918BC"/>
    <w:rsid w:val="7D8E8A18"/>
    <w:rsid w:val="7E51A4E4"/>
    <w:rsid w:val="7EBDA18C"/>
    <w:rsid w:val="7EE72273"/>
    <w:rsid w:val="7EF7CDD2"/>
    <w:rsid w:val="7F3E3F45"/>
    <w:rsid w:val="7F7BEB9D"/>
    <w:rsid w:val="7FB5C036"/>
    <w:rsid w:val="7FBF2495"/>
    <w:rsid w:val="7FCE6666"/>
    <w:rsid w:val="7FDCAB43"/>
    <w:rsid w:val="7FDF897D"/>
    <w:rsid w:val="7FE91E78"/>
    <w:rsid w:val="7FFDE69B"/>
    <w:rsid w:val="9CBD0B1A"/>
    <w:rsid w:val="9EF6604C"/>
    <w:rsid w:val="A7F9C1DE"/>
    <w:rsid w:val="B593FB7D"/>
    <w:rsid w:val="B8BE5849"/>
    <w:rsid w:val="BCB7048F"/>
    <w:rsid w:val="BF45B9F9"/>
    <w:rsid w:val="BF8E36EE"/>
    <w:rsid w:val="BFDFB85E"/>
    <w:rsid w:val="BFF5AD43"/>
    <w:rsid w:val="BFF739EC"/>
    <w:rsid w:val="D7FFD2F4"/>
    <w:rsid w:val="D96C2367"/>
    <w:rsid w:val="D9FFDD10"/>
    <w:rsid w:val="DDEFBA43"/>
    <w:rsid w:val="DEAFB90F"/>
    <w:rsid w:val="DF21B821"/>
    <w:rsid w:val="DF9BF5C7"/>
    <w:rsid w:val="DFD76A11"/>
    <w:rsid w:val="E3CF85CB"/>
    <w:rsid w:val="E9F71F09"/>
    <w:rsid w:val="EAFD8D58"/>
    <w:rsid w:val="EB6C770B"/>
    <w:rsid w:val="EBCD181E"/>
    <w:rsid w:val="EBF8DBF2"/>
    <w:rsid w:val="EEBFA8B1"/>
    <w:rsid w:val="EF7C48A7"/>
    <w:rsid w:val="EF9FD700"/>
    <w:rsid w:val="EFFFDD70"/>
    <w:rsid w:val="F1B778F1"/>
    <w:rsid w:val="F3FF743F"/>
    <w:rsid w:val="F4FF55F7"/>
    <w:rsid w:val="F7FD911C"/>
    <w:rsid w:val="F9778E68"/>
    <w:rsid w:val="F9DF2CA6"/>
    <w:rsid w:val="F9EB589E"/>
    <w:rsid w:val="FAF276D6"/>
    <w:rsid w:val="FB3326CC"/>
    <w:rsid w:val="FBCE4D19"/>
    <w:rsid w:val="FDBF10AA"/>
    <w:rsid w:val="FDDE8728"/>
    <w:rsid w:val="FDFD4EA0"/>
    <w:rsid w:val="FEFBBBDF"/>
    <w:rsid w:val="FF6B92DC"/>
    <w:rsid w:val="FFBC3961"/>
    <w:rsid w:val="FFCF2299"/>
    <w:rsid w:val="FFDBAEE3"/>
    <w:rsid w:val="FFDD1EA1"/>
    <w:rsid w:val="FFE7A9C6"/>
    <w:rsid w:val="FFFF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link w:val="19"/>
    <w:unhideWhenUsed/>
    <w:qFormat/>
    <w:uiPriority w:val="99"/>
    <w:pPr>
      <w:spacing w:after="120"/>
    </w:pPr>
  </w:style>
  <w:style w:type="paragraph" w:styleId="6">
    <w:name w:val="footer"/>
    <w:basedOn w:val="1"/>
    <w:link w:val="18"/>
    <w:qFormat/>
    <w:uiPriority w:val="0"/>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toc 2"/>
    <w:basedOn w:val="1"/>
    <w:next w:val="1"/>
    <w:qFormat/>
    <w:uiPriority w:val="0"/>
    <w:pPr>
      <w:ind w:left="420" w:leftChars="200"/>
    </w:pPr>
    <w:rPr>
      <w:rFonts w:ascii="Times New Roman" w:hAnsi="Times New Roman" w:eastAsia="宋体"/>
      <w:sz w:val="30"/>
    </w:rPr>
  </w:style>
  <w:style w:type="paragraph" w:styleId="9">
    <w:name w:val="Normal (Web)"/>
    <w:basedOn w:val="1"/>
    <w:qFormat/>
    <w:uiPriority w:val="0"/>
    <w:rPr>
      <w:sz w:val="24"/>
    </w:rPr>
  </w:style>
  <w:style w:type="paragraph" w:styleId="10">
    <w:name w:val="Body Text First Indent"/>
    <w:basedOn w:val="5"/>
    <w:qFormat/>
    <w:uiPriority w:val="0"/>
    <w:pPr>
      <w:ind w:firstLine="420" w:firstLineChars="100"/>
    </w:p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qFormat/>
    <w:uiPriority w:val="0"/>
    <w:rPr>
      <w:rFonts w:ascii="Times New Roman" w:hAnsi="Times New Roman" w:eastAsia="宋体" w:cs="Simplified Arabic"/>
      <w:sz w:val="24"/>
      <w:szCs w:val="24"/>
      <w:lang w:val="en-GB" w:bidi="ar-AE"/>
    </w:rPr>
  </w:style>
  <w:style w:type="paragraph" w:customStyle="1" w:styleId="15">
    <w:name w:val="名称2"/>
    <w:basedOn w:val="16"/>
    <w:qFormat/>
    <w:uiPriority w:val="0"/>
    <w:pPr>
      <w:spacing w:after="312" w:afterLines="100"/>
    </w:pPr>
    <w:rPr>
      <w:b w:val="0"/>
      <w:sz w:val="20"/>
    </w:rPr>
  </w:style>
  <w:style w:type="paragraph" w:customStyle="1" w:styleId="16">
    <w:name w:val="名称"/>
    <w:basedOn w:val="1"/>
    <w:qFormat/>
    <w:uiPriority w:val="0"/>
    <w:pPr>
      <w:jc w:val="center"/>
    </w:pPr>
    <w:rPr>
      <w:b/>
      <w:kern w:val="0"/>
      <w:sz w:val="44"/>
      <w:szCs w:val="20"/>
    </w:rPr>
  </w:style>
  <w:style w:type="character" w:customStyle="1" w:styleId="17">
    <w:name w:val="页眉 字符"/>
    <w:basedOn w:val="13"/>
    <w:link w:val="7"/>
    <w:qFormat/>
    <w:uiPriority w:val="0"/>
    <w:rPr>
      <w:rFonts w:ascii="Times New Roman" w:hAnsi="Times New Roman" w:eastAsia="宋体" w:cs="Times New Roman"/>
      <w:kern w:val="2"/>
      <w:sz w:val="18"/>
      <w:szCs w:val="18"/>
    </w:rPr>
  </w:style>
  <w:style w:type="character" w:customStyle="1" w:styleId="18">
    <w:name w:val="页脚 字符"/>
    <w:basedOn w:val="13"/>
    <w:link w:val="6"/>
    <w:qFormat/>
    <w:uiPriority w:val="0"/>
    <w:rPr>
      <w:rFonts w:ascii="Times New Roman" w:hAnsi="Times New Roman" w:eastAsia="宋体" w:cs="Times New Roman"/>
      <w:kern w:val="2"/>
      <w:sz w:val="18"/>
      <w:szCs w:val="18"/>
    </w:rPr>
  </w:style>
  <w:style w:type="character" w:customStyle="1" w:styleId="19">
    <w:name w:val="正文文本 字符"/>
    <w:basedOn w:val="13"/>
    <w:link w:val="5"/>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6"/>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1792</Words>
  <Characters>1905</Characters>
  <Lines>1</Lines>
  <Paragraphs>1</Paragraphs>
  <TotalTime>920</TotalTime>
  <ScaleCrop>false</ScaleCrop>
  <LinksUpToDate>false</LinksUpToDate>
  <CharactersWithSpaces>2030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2023-03-09T09:34:00Z</dcterms:created>
  <dc:creator>张斌（反垄断处）</dc:creator>
  <cp:lastModifiedBy>夏学强   </cp:lastModifiedBy>
  <cp:lastPrinted>2024-04-16T01:34:00Z</cp:lastPrinted>
  <dcterms:modified xsi:type="dcterms:W3CDTF">2026-04-16T07:04:19Z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E7E912247FC74DD6A195C4C18184B1CA_13</vt:lpwstr>
  </property>
  <property fmtid="{D5CDD505-2E9C-101B-9397-08002B2CF9AE}" pid="4" name="KSOTemplateDocerSaveRecord">
    <vt:lpwstr>eyJoZGlkIjoiYjcyMzQ5NmUwNWNjMzE5MmEwMDE2ZDQ3ZGE5YTYwZWYiLCJ1c2VySWQiOiI1MDg5MjU3NTAifQ==</vt:lpwstr>
  </property>
</Properties>
</file>