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B2DE7">
      <w:pPr>
        <w:widowControl/>
        <w:spacing w:after="240"/>
        <w:jc w:val="center"/>
        <w:rPr>
          <w:rFonts w:eastAsiaTheme="minorEastAsia"/>
        </w:rPr>
      </w:pPr>
      <w:r>
        <w:rPr>
          <w:rFonts w:hint="eastAsia" w:ascii="方正小标宋简体" w:hAnsi="方正小标宋简体" w:eastAsia="方正小标宋简体" w:cs="方正小标宋简体"/>
          <w:kern w:val="0"/>
          <w:sz w:val="44"/>
          <w:szCs w:val="44"/>
          <w:lang w:val="en-GB" w:bidi="ar"/>
        </w:rPr>
        <w:t>经营者</w:t>
      </w:r>
      <w:bookmarkStart w:id="1" w:name="_GoBack"/>
      <w:bookmarkEnd w:id="1"/>
      <w:r>
        <w:rPr>
          <w:rFonts w:hint="eastAsia" w:ascii="方正小标宋简体" w:hAnsi="方正小标宋简体" w:eastAsia="方正小标宋简体" w:cs="方正小标宋简体"/>
          <w:kern w:val="0"/>
          <w:sz w:val="44"/>
          <w:szCs w:val="44"/>
          <w:lang w:val="en-GB" w:bidi="ar"/>
        </w:rPr>
        <w:t>集中简易案件公示表</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1471"/>
        <w:gridCol w:w="5292"/>
      </w:tblGrid>
      <w:tr w14:paraId="18A2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032" w:type="pct"/>
            <w:shd w:val="clear" w:color="auto" w:fill="D9D9D9"/>
            <w:vAlign w:val="center"/>
          </w:tcPr>
          <w:p w14:paraId="6F5D278B">
            <w:pPr>
              <w:snapToGrid w:val="0"/>
              <w:rPr>
                <w:rFonts w:ascii="宋体" w:hAnsi="宋体" w:eastAsia="宋体"/>
                <w:b/>
                <w:sz w:val="24"/>
                <w:szCs w:val="24"/>
              </w:rPr>
            </w:pPr>
            <w:r>
              <w:rPr>
                <w:rFonts w:hint="eastAsia" w:ascii="宋体" w:hAnsi="宋体" w:eastAsia="宋体"/>
                <w:b/>
                <w:sz w:val="24"/>
                <w:szCs w:val="24"/>
              </w:rPr>
              <w:t>案件名称</w:t>
            </w:r>
          </w:p>
        </w:tc>
        <w:tc>
          <w:tcPr>
            <w:tcW w:w="3968" w:type="pct"/>
            <w:gridSpan w:val="2"/>
            <w:vAlign w:val="center"/>
          </w:tcPr>
          <w:p w14:paraId="14AA5F47">
            <w:pPr>
              <w:widowControl/>
              <w:snapToGrid w:val="0"/>
              <w:rPr>
                <w:rFonts w:ascii="宋体" w:hAnsi="宋体" w:eastAsia="宋体"/>
                <w:sz w:val="24"/>
                <w:szCs w:val="24"/>
              </w:rPr>
            </w:pPr>
            <w:r>
              <w:rPr>
                <w:rFonts w:hint="eastAsia" w:ascii="宋体" w:hAnsi="宋体" w:eastAsia="宋体"/>
                <w:kern w:val="0"/>
                <w:sz w:val="24"/>
                <w:szCs w:val="24"/>
              </w:rPr>
              <w:t>熙维资本合伙有限公司收购帝斯曼私人有限公司部分业务案</w:t>
            </w:r>
          </w:p>
        </w:tc>
      </w:tr>
      <w:tr w14:paraId="642B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1032" w:type="pct"/>
            <w:shd w:val="clear" w:color="auto" w:fill="D9D9D9"/>
            <w:vAlign w:val="center"/>
          </w:tcPr>
          <w:p w14:paraId="2B8BB8A2">
            <w:pPr>
              <w:snapToGrid w:val="0"/>
              <w:rPr>
                <w:rFonts w:ascii="宋体" w:hAnsi="宋体" w:eastAsia="宋体"/>
                <w:b/>
                <w:bCs/>
                <w:kern w:val="0"/>
                <w:sz w:val="24"/>
                <w:szCs w:val="24"/>
              </w:rPr>
            </w:pPr>
            <w:r>
              <w:rPr>
                <w:rFonts w:hint="eastAsia" w:ascii="宋体" w:hAnsi="宋体" w:eastAsia="宋体"/>
                <w:b/>
                <w:bCs/>
                <w:kern w:val="0"/>
                <w:sz w:val="24"/>
                <w:szCs w:val="24"/>
              </w:rPr>
              <w:t>交易概况（限200字内）</w:t>
            </w:r>
          </w:p>
        </w:tc>
        <w:tc>
          <w:tcPr>
            <w:tcW w:w="3968" w:type="pct"/>
            <w:gridSpan w:val="2"/>
          </w:tcPr>
          <w:p w14:paraId="377CFBF9">
            <w:pPr>
              <w:snapToGrid w:val="0"/>
              <w:ind w:firstLine="480" w:firstLineChars="200"/>
              <w:rPr>
                <w:rFonts w:ascii="宋体" w:hAnsi="宋体" w:eastAsia="宋体"/>
                <w:kern w:val="0"/>
                <w:sz w:val="24"/>
                <w:szCs w:val="24"/>
              </w:rPr>
            </w:pPr>
            <w:bookmarkStart w:id="0" w:name="_Hlk223543984"/>
            <w:r>
              <w:rPr>
                <w:rFonts w:ascii="宋体" w:hAnsi="宋体" w:eastAsia="宋体"/>
                <w:kern w:val="0"/>
                <w:sz w:val="24"/>
                <w:szCs w:val="24"/>
              </w:rPr>
              <w:t>熙维资本合伙有限公司</w:t>
            </w:r>
            <w:r>
              <w:rPr>
                <w:rFonts w:hint="eastAsia" w:ascii="宋体" w:hAnsi="宋体" w:eastAsia="宋体"/>
                <w:kern w:val="0"/>
                <w:sz w:val="24"/>
                <w:szCs w:val="24"/>
              </w:rPr>
              <w:t>（“</w:t>
            </w:r>
            <w:r>
              <w:rPr>
                <w:rFonts w:hint="eastAsia" w:ascii="宋体" w:hAnsi="宋体" w:eastAsia="宋体"/>
                <w:b/>
                <w:bCs/>
                <w:kern w:val="0"/>
                <w:sz w:val="24"/>
                <w:szCs w:val="24"/>
              </w:rPr>
              <w:t>熙维资本</w:t>
            </w:r>
            <w:r>
              <w:rPr>
                <w:rFonts w:hint="eastAsia" w:ascii="宋体" w:hAnsi="宋体" w:eastAsia="宋体"/>
                <w:kern w:val="0"/>
                <w:sz w:val="24"/>
                <w:szCs w:val="24"/>
              </w:rPr>
              <w:t>”，间接通过其关联实体）</w:t>
            </w:r>
            <w:r>
              <w:rPr>
                <w:rFonts w:ascii="宋体" w:hAnsi="宋体" w:eastAsia="宋体"/>
                <w:kern w:val="0"/>
                <w:sz w:val="24"/>
                <w:szCs w:val="24"/>
              </w:rPr>
              <w:t>与帝斯曼私人有限公司签</w:t>
            </w:r>
            <w:r>
              <w:rPr>
                <w:rFonts w:hint="eastAsia" w:ascii="宋体" w:hAnsi="宋体" w:eastAsia="宋体"/>
                <w:kern w:val="0"/>
                <w:sz w:val="24"/>
                <w:szCs w:val="24"/>
              </w:rPr>
              <w:t>署</w:t>
            </w:r>
            <w:r>
              <w:rPr>
                <w:rFonts w:ascii="宋体" w:hAnsi="宋体" w:eastAsia="宋体"/>
                <w:kern w:val="0"/>
                <w:sz w:val="24"/>
                <w:szCs w:val="24"/>
              </w:rPr>
              <w:t>协议，熙维资本收购帝斯曼芬美意</w:t>
            </w:r>
            <w:r>
              <w:rPr>
                <w:rFonts w:hint="eastAsia" w:ascii="宋体" w:hAnsi="宋体" w:eastAsia="宋体"/>
                <w:kern w:val="0"/>
                <w:sz w:val="24"/>
                <w:szCs w:val="24"/>
              </w:rPr>
              <w:t>股份公司</w:t>
            </w:r>
            <w:r>
              <w:rPr>
                <w:rFonts w:ascii="宋体" w:hAnsi="宋体" w:eastAsia="宋体"/>
                <w:kern w:val="0"/>
                <w:sz w:val="24"/>
                <w:szCs w:val="24"/>
              </w:rPr>
              <w:t>动物营养与健康业务</w:t>
            </w:r>
            <w:r>
              <w:rPr>
                <w:rFonts w:hint="eastAsia" w:ascii="宋体" w:hAnsi="宋体" w:eastAsia="宋体"/>
                <w:kern w:val="0"/>
                <w:sz w:val="24"/>
                <w:szCs w:val="24"/>
              </w:rPr>
              <w:t>各公司</w:t>
            </w:r>
            <w:r>
              <w:rPr>
                <w:rFonts w:ascii="宋体" w:hAnsi="宋体" w:eastAsia="宋体"/>
                <w:kern w:val="0"/>
                <w:sz w:val="24"/>
                <w:szCs w:val="24"/>
              </w:rPr>
              <w:t>（</w:t>
            </w:r>
            <w:r>
              <w:rPr>
                <w:rFonts w:hint="eastAsia" w:ascii="宋体" w:hAnsi="宋体" w:eastAsia="宋体"/>
                <w:kern w:val="0"/>
                <w:sz w:val="24"/>
                <w:szCs w:val="24"/>
              </w:rPr>
              <w:t>“</w:t>
            </w:r>
            <w:r>
              <w:rPr>
                <w:rFonts w:ascii="宋体" w:hAnsi="宋体" w:eastAsia="宋体"/>
                <w:b/>
                <w:bCs/>
                <w:kern w:val="0"/>
                <w:sz w:val="24"/>
                <w:szCs w:val="24"/>
              </w:rPr>
              <w:t>目标业务</w:t>
            </w:r>
            <w:r>
              <w:rPr>
                <w:rFonts w:hint="eastAsia" w:ascii="宋体" w:hAnsi="宋体" w:eastAsia="宋体"/>
                <w:b/>
                <w:bCs/>
                <w:kern w:val="0"/>
                <w:sz w:val="24"/>
                <w:szCs w:val="24"/>
              </w:rPr>
              <w:t>公司</w:t>
            </w:r>
            <w:r>
              <w:rPr>
                <w:rFonts w:hint="eastAsia" w:ascii="宋体" w:hAnsi="宋体" w:eastAsia="宋体"/>
                <w:kern w:val="0"/>
                <w:sz w:val="24"/>
                <w:szCs w:val="24"/>
              </w:rPr>
              <w:t>”</w:t>
            </w:r>
            <w:r>
              <w:rPr>
                <w:rFonts w:ascii="宋体" w:hAnsi="宋体" w:eastAsia="宋体"/>
                <w:kern w:val="0"/>
                <w:sz w:val="24"/>
                <w:szCs w:val="24"/>
              </w:rPr>
              <w:t>）</w:t>
            </w:r>
            <w:r>
              <w:rPr>
                <w:rFonts w:hint="eastAsia" w:ascii="宋体" w:hAnsi="宋体" w:eastAsia="宋体"/>
                <w:kern w:val="0"/>
                <w:sz w:val="24"/>
                <w:szCs w:val="24"/>
              </w:rPr>
              <w:t>共计80%股份</w:t>
            </w:r>
            <w:r>
              <w:rPr>
                <w:rFonts w:ascii="宋体" w:hAnsi="宋体" w:eastAsia="宋体"/>
                <w:kern w:val="0"/>
                <w:sz w:val="24"/>
                <w:szCs w:val="24"/>
              </w:rPr>
              <w:t>。目标业务</w:t>
            </w:r>
            <w:r>
              <w:rPr>
                <w:rFonts w:hint="eastAsia" w:ascii="宋体" w:hAnsi="宋体" w:eastAsia="宋体"/>
                <w:kern w:val="0"/>
                <w:sz w:val="24"/>
                <w:szCs w:val="24"/>
              </w:rPr>
              <w:t>公司</w:t>
            </w:r>
            <w:r>
              <w:rPr>
                <w:rFonts w:ascii="宋体" w:hAnsi="宋体" w:eastAsia="宋体"/>
                <w:kern w:val="0"/>
                <w:sz w:val="24"/>
                <w:szCs w:val="24"/>
              </w:rPr>
              <w:t>主要从事动物饲料添加剂、动物</w:t>
            </w:r>
            <w:r>
              <w:rPr>
                <w:rFonts w:hint="eastAsia" w:ascii="宋体" w:hAnsi="宋体" w:eastAsia="宋体"/>
                <w:sz w:val="24"/>
                <w:szCs w:val="24"/>
              </w:rPr>
              <w:t>添加剂预混合饲料</w:t>
            </w:r>
            <w:r>
              <w:rPr>
                <w:rFonts w:ascii="宋体" w:hAnsi="宋体" w:eastAsia="宋体"/>
                <w:kern w:val="0"/>
                <w:sz w:val="24"/>
                <w:szCs w:val="24"/>
              </w:rPr>
              <w:t>、</w:t>
            </w:r>
            <w:r>
              <w:rPr>
                <w:rFonts w:hint="eastAsia" w:ascii="宋体" w:hAnsi="宋体" w:eastAsia="宋体"/>
                <w:kern w:val="0"/>
                <w:sz w:val="24"/>
                <w:szCs w:val="24"/>
              </w:rPr>
              <w:t>芳香原料的供应及农场管理软件业务。交易前，帝斯曼芬美意股份公司间接持有目标业务公司100%的股份，单独控制目标业务公司。交易后，熙维基金将间接持有目标业务公司80%的股份，单独控制目标业务公司。</w:t>
            </w:r>
            <w:bookmarkEnd w:id="0"/>
          </w:p>
        </w:tc>
      </w:tr>
      <w:tr w14:paraId="76A8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032" w:type="pct"/>
            <w:vMerge w:val="restart"/>
            <w:shd w:val="clear" w:color="auto" w:fill="D9D9D9"/>
            <w:vAlign w:val="center"/>
          </w:tcPr>
          <w:p w14:paraId="3BC19879">
            <w:pPr>
              <w:snapToGrid w:val="0"/>
              <w:rPr>
                <w:rFonts w:ascii="宋体" w:hAnsi="宋体" w:eastAsia="宋体"/>
                <w:b/>
                <w:sz w:val="24"/>
                <w:szCs w:val="24"/>
              </w:rPr>
            </w:pPr>
            <w:r>
              <w:rPr>
                <w:rFonts w:ascii="宋体" w:hAnsi="宋体" w:eastAsia="宋体"/>
                <w:b/>
                <w:sz w:val="24"/>
                <w:szCs w:val="24"/>
              </w:rPr>
              <w:t>参与集中的经营者</w:t>
            </w:r>
            <w:r>
              <w:rPr>
                <w:rFonts w:hint="eastAsia" w:ascii="宋体" w:hAnsi="宋体" w:eastAsia="宋体"/>
                <w:b/>
                <w:sz w:val="24"/>
                <w:szCs w:val="24"/>
              </w:rPr>
              <w:t>简介（每个限100字以内）</w:t>
            </w:r>
          </w:p>
        </w:tc>
        <w:tc>
          <w:tcPr>
            <w:tcW w:w="863" w:type="pct"/>
          </w:tcPr>
          <w:p w14:paraId="152D3E52">
            <w:pPr>
              <w:snapToGrid w:val="0"/>
              <w:rPr>
                <w:rFonts w:ascii="宋体" w:hAnsi="宋体" w:eastAsia="宋体"/>
                <w:kern w:val="0"/>
                <w:sz w:val="24"/>
                <w:szCs w:val="24"/>
              </w:rPr>
            </w:pPr>
            <w:r>
              <w:rPr>
                <w:rFonts w:ascii="宋体" w:hAnsi="宋体" w:eastAsia="宋体"/>
                <w:kern w:val="0"/>
                <w:sz w:val="24"/>
                <w:szCs w:val="24"/>
              </w:rPr>
              <w:t>1.</w:t>
            </w:r>
            <w:r>
              <w:rPr>
                <w:rFonts w:hint="eastAsia" w:ascii="宋体" w:hAnsi="宋体" w:eastAsia="宋体"/>
                <w:kern w:val="0"/>
                <w:sz w:val="24"/>
                <w:szCs w:val="24"/>
              </w:rPr>
              <w:t>熙维资本</w:t>
            </w:r>
          </w:p>
        </w:tc>
        <w:tc>
          <w:tcPr>
            <w:tcW w:w="3105" w:type="pct"/>
          </w:tcPr>
          <w:p w14:paraId="32C4A1C0">
            <w:pPr>
              <w:snapToGrid w:val="0"/>
              <w:ind w:firstLine="480" w:firstLineChars="200"/>
              <w:rPr>
                <w:rFonts w:ascii="宋体" w:hAnsi="宋体" w:eastAsia="宋体"/>
                <w:sz w:val="24"/>
                <w:szCs w:val="24"/>
              </w:rPr>
            </w:pPr>
            <w:r>
              <w:rPr>
                <w:rFonts w:ascii="宋体" w:hAnsi="宋体" w:eastAsia="宋体"/>
                <w:kern w:val="0"/>
                <w:sz w:val="24"/>
                <w:szCs w:val="24"/>
              </w:rPr>
              <w:t>熙维资本于</w:t>
            </w:r>
            <w:r>
              <w:rPr>
                <w:rFonts w:ascii="宋体" w:hAnsi="宋体" w:eastAsia="宋体"/>
                <w:sz w:val="24"/>
                <w:szCs w:val="24"/>
              </w:rPr>
              <w:t>2021年12月21日</w:t>
            </w:r>
            <w:r>
              <w:rPr>
                <w:rFonts w:hint="eastAsia" w:ascii="宋体" w:hAnsi="宋体" w:eastAsia="宋体"/>
                <w:sz w:val="24"/>
                <w:szCs w:val="24"/>
              </w:rPr>
              <w:t>成立于</w:t>
            </w:r>
            <w:r>
              <w:rPr>
                <w:rFonts w:ascii="宋体" w:hAnsi="宋体" w:eastAsia="宋体"/>
                <w:sz w:val="24"/>
                <w:szCs w:val="24"/>
              </w:rPr>
              <w:t>泽西岛，</w:t>
            </w:r>
            <w:r>
              <w:rPr>
                <w:rFonts w:hint="eastAsia" w:ascii="宋体" w:hAnsi="宋体" w:eastAsia="宋体"/>
                <w:sz w:val="24"/>
                <w:szCs w:val="24"/>
              </w:rPr>
              <w:t>为</w:t>
            </w:r>
            <w:r>
              <w:rPr>
                <w:rFonts w:ascii="宋体" w:hAnsi="宋体" w:eastAsia="宋体"/>
                <w:sz w:val="24"/>
                <w:szCs w:val="24"/>
              </w:rPr>
              <w:t>阿姆斯特丹泛欧证券交易所上市</w:t>
            </w:r>
            <w:r>
              <w:rPr>
                <w:rFonts w:hint="eastAsia" w:ascii="宋体" w:hAnsi="宋体" w:eastAsia="宋体"/>
                <w:sz w:val="24"/>
                <w:szCs w:val="24"/>
              </w:rPr>
              <w:t>公司，熙维资本及其各时期特定子公司的主要业务为向特定基金和投资工具提供投资建议和</w:t>
            </w:r>
            <w:r>
              <w:rPr>
                <w:rFonts w:ascii="宋体" w:hAnsi="宋体" w:eastAsia="宋体"/>
                <w:sz w:val="24"/>
                <w:szCs w:val="24"/>
              </w:rPr>
              <w:t>/</w:t>
            </w:r>
            <w:r>
              <w:rPr>
                <w:rFonts w:hint="eastAsia" w:ascii="宋体" w:hAnsi="宋体" w:eastAsia="宋体"/>
                <w:sz w:val="24"/>
                <w:szCs w:val="24"/>
              </w:rPr>
              <w:t>或代表其管理投资，熙维基金持有全球多个行业的多家公司的股权，领域涉及金融服务、化工、公共事业、制造业、零售和分销。</w:t>
            </w:r>
          </w:p>
          <w:p w14:paraId="57F5007B">
            <w:pPr>
              <w:snapToGrid w:val="0"/>
              <w:ind w:firstLine="480" w:firstLineChars="200"/>
              <w:rPr>
                <w:rFonts w:ascii="宋体" w:hAnsi="宋体" w:eastAsia="宋体"/>
                <w:i/>
                <w:sz w:val="24"/>
                <w:szCs w:val="24"/>
              </w:rPr>
            </w:pPr>
            <w:r>
              <w:rPr>
                <w:rFonts w:ascii="宋体" w:hAnsi="宋体" w:eastAsia="宋体"/>
                <w:sz w:val="24"/>
                <w:szCs w:val="24"/>
              </w:rPr>
              <w:t>熙维资本</w:t>
            </w:r>
            <w:r>
              <w:rPr>
                <w:rFonts w:hint="eastAsia" w:ascii="宋体" w:hAnsi="宋体" w:eastAsia="宋体"/>
                <w:sz w:val="24"/>
                <w:szCs w:val="24"/>
              </w:rPr>
              <w:t>无最终控制人。</w:t>
            </w:r>
          </w:p>
        </w:tc>
      </w:tr>
      <w:tr w14:paraId="73D0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032" w:type="pct"/>
            <w:vMerge w:val="continue"/>
            <w:shd w:val="clear" w:color="auto" w:fill="D9D9D9"/>
            <w:vAlign w:val="center"/>
          </w:tcPr>
          <w:p w14:paraId="4D747D10">
            <w:pPr>
              <w:snapToGrid w:val="0"/>
              <w:rPr>
                <w:rFonts w:ascii="宋体" w:hAnsi="宋体" w:eastAsia="宋体"/>
                <w:b/>
                <w:sz w:val="24"/>
                <w:szCs w:val="24"/>
              </w:rPr>
            </w:pPr>
          </w:p>
        </w:tc>
        <w:tc>
          <w:tcPr>
            <w:tcW w:w="863" w:type="pct"/>
          </w:tcPr>
          <w:p w14:paraId="1DA2622E">
            <w:pPr>
              <w:snapToGrid w:val="0"/>
              <w:jc w:val="left"/>
              <w:rPr>
                <w:rFonts w:ascii="宋体" w:hAnsi="宋体" w:eastAsia="宋体"/>
                <w:kern w:val="0"/>
                <w:sz w:val="24"/>
                <w:szCs w:val="24"/>
              </w:rPr>
            </w:pPr>
            <w:r>
              <w:rPr>
                <w:rFonts w:ascii="宋体" w:hAnsi="宋体" w:eastAsia="宋体"/>
                <w:kern w:val="0"/>
                <w:sz w:val="24"/>
                <w:szCs w:val="24"/>
              </w:rPr>
              <w:t>2.</w:t>
            </w:r>
            <w:r>
              <w:rPr>
                <w:rFonts w:hint="eastAsia" w:ascii="宋体" w:hAnsi="宋体" w:eastAsia="宋体"/>
                <w:kern w:val="0"/>
                <w:sz w:val="24"/>
                <w:szCs w:val="24"/>
              </w:rPr>
              <w:t>目标业务公司</w:t>
            </w:r>
          </w:p>
        </w:tc>
        <w:tc>
          <w:tcPr>
            <w:tcW w:w="3105" w:type="pct"/>
          </w:tcPr>
          <w:p w14:paraId="6B6D412B">
            <w:pPr>
              <w:snapToGrid w:val="0"/>
              <w:ind w:firstLine="480" w:firstLineChars="200"/>
              <w:rPr>
                <w:rFonts w:ascii="宋体" w:hAnsi="宋体" w:eastAsia="宋体"/>
                <w:sz w:val="24"/>
                <w:szCs w:val="24"/>
              </w:rPr>
            </w:pPr>
            <w:r>
              <w:rPr>
                <w:rFonts w:ascii="宋体" w:hAnsi="宋体" w:eastAsia="宋体"/>
                <w:sz w:val="24"/>
                <w:szCs w:val="24"/>
              </w:rPr>
              <w:t>目标业务</w:t>
            </w:r>
            <w:r>
              <w:rPr>
                <w:rFonts w:hint="eastAsia" w:ascii="宋体" w:hAnsi="宋体" w:eastAsia="宋体"/>
                <w:sz w:val="24"/>
                <w:szCs w:val="24"/>
              </w:rPr>
              <w:t>公司</w:t>
            </w:r>
            <w:r>
              <w:rPr>
                <w:rFonts w:hint="eastAsia" w:ascii="宋体" w:hAnsi="宋体" w:eastAsia="宋体"/>
                <w:kern w:val="0"/>
                <w:sz w:val="24"/>
                <w:szCs w:val="24"/>
              </w:rPr>
              <w:t>的主要业务为</w:t>
            </w:r>
            <w:r>
              <w:rPr>
                <w:rFonts w:ascii="宋体" w:hAnsi="宋体" w:eastAsia="宋体"/>
                <w:sz w:val="24"/>
                <w:szCs w:val="24"/>
              </w:rPr>
              <w:t>动物饲料添加剂、动物</w:t>
            </w:r>
            <w:r>
              <w:rPr>
                <w:rFonts w:hint="eastAsia" w:ascii="宋体" w:hAnsi="宋体" w:eastAsia="宋体"/>
                <w:sz w:val="24"/>
                <w:szCs w:val="24"/>
              </w:rPr>
              <w:t>添加剂预混合饲料</w:t>
            </w:r>
            <w:r>
              <w:rPr>
                <w:rFonts w:ascii="宋体" w:hAnsi="宋体" w:eastAsia="宋体"/>
                <w:sz w:val="24"/>
                <w:szCs w:val="24"/>
              </w:rPr>
              <w:t>、</w:t>
            </w:r>
            <w:r>
              <w:rPr>
                <w:rFonts w:hint="eastAsia" w:ascii="宋体" w:hAnsi="宋体" w:eastAsia="宋体"/>
                <w:sz w:val="24"/>
                <w:szCs w:val="24"/>
              </w:rPr>
              <w:t>芳香原料的供应及农场管理软件。</w:t>
            </w:r>
          </w:p>
          <w:p w14:paraId="311FDABE">
            <w:pPr>
              <w:snapToGrid w:val="0"/>
              <w:ind w:firstLine="480" w:firstLineChars="200"/>
              <w:rPr>
                <w:rFonts w:ascii="宋体" w:hAnsi="宋体" w:eastAsia="宋体"/>
                <w:sz w:val="24"/>
                <w:szCs w:val="24"/>
              </w:rPr>
            </w:pPr>
            <w:r>
              <w:rPr>
                <w:rFonts w:hint="eastAsia" w:ascii="宋体" w:hAnsi="宋体" w:eastAsia="宋体"/>
                <w:sz w:val="24"/>
                <w:szCs w:val="24"/>
              </w:rPr>
              <w:t>目标业务公司的最终控制人为帝斯曼芬美意股份公司（与其直接及间接关联实体合称“</w:t>
            </w:r>
            <w:r>
              <w:rPr>
                <w:rFonts w:hint="eastAsia" w:ascii="宋体" w:hAnsi="宋体" w:eastAsia="宋体"/>
                <w:b/>
                <w:bCs/>
                <w:sz w:val="24"/>
                <w:szCs w:val="24"/>
              </w:rPr>
              <w:t>帝斯曼芬美意集团</w:t>
            </w:r>
            <w:r>
              <w:rPr>
                <w:rFonts w:hint="eastAsia" w:ascii="宋体" w:hAnsi="宋体" w:eastAsia="宋体"/>
                <w:sz w:val="24"/>
                <w:szCs w:val="24"/>
              </w:rPr>
              <w:t>”），帝斯曼芬美意集团的主要业务为香水与美容风味，质地与健康，健康、营养与护理及动物营养与健康。</w:t>
            </w:r>
          </w:p>
        </w:tc>
      </w:tr>
      <w:tr w14:paraId="096A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vMerge w:val="restart"/>
            <w:shd w:val="clear" w:color="auto" w:fill="D9D9D9"/>
            <w:vAlign w:val="center"/>
          </w:tcPr>
          <w:p w14:paraId="7BEFEC02">
            <w:pPr>
              <w:snapToGrid w:val="0"/>
              <w:rPr>
                <w:rFonts w:ascii="宋体" w:hAnsi="宋体" w:eastAsia="宋体"/>
                <w:b/>
                <w:sz w:val="24"/>
                <w:szCs w:val="24"/>
              </w:rPr>
            </w:pPr>
            <w:r>
              <w:rPr>
                <w:rFonts w:hint="eastAsia" w:ascii="宋体" w:hAnsi="宋体" w:eastAsia="宋体"/>
                <w:b/>
                <w:sz w:val="24"/>
                <w:szCs w:val="24"/>
              </w:rPr>
              <w:t>简易案件理由</w:t>
            </w:r>
          </w:p>
          <w:p w14:paraId="46E0E755">
            <w:pPr>
              <w:snapToGrid w:val="0"/>
              <w:rPr>
                <w:rFonts w:ascii="宋体" w:hAnsi="宋体" w:eastAsia="宋体"/>
                <w:b/>
                <w:sz w:val="24"/>
                <w:szCs w:val="24"/>
              </w:rPr>
            </w:pPr>
            <w:r>
              <w:rPr>
                <w:rFonts w:hint="eastAsia" w:ascii="宋体" w:hAnsi="宋体" w:eastAsia="宋体"/>
                <w:b/>
                <w:sz w:val="24"/>
                <w:szCs w:val="24"/>
              </w:rPr>
              <w:t>（可以单选，也</w:t>
            </w:r>
          </w:p>
          <w:p w14:paraId="6D2B9CB1">
            <w:pPr>
              <w:snapToGrid w:val="0"/>
              <w:rPr>
                <w:rFonts w:ascii="宋体" w:hAnsi="宋体" w:eastAsia="宋体"/>
                <w:b/>
                <w:sz w:val="24"/>
                <w:szCs w:val="24"/>
              </w:rPr>
            </w:pPr>
            <w:r>
              <w:rPr>
                <w:rFonts w:hint="eastAsia" w:ascii="宋体" w:hAnsi="宋体" w:eastAsia="宋体"/>
                <w:b/>
                <w:sz w:val="24"/>
                <w:szCs w:val="24"/>
              </w:rPr>
              <w:t>可以多选）</w:t>
            </w:r>
          </w:p>
        </w:tc>
        <w:tc>
          <w:tcPr>
            <w:tcW w:w="3968" w:type="pct"/>
            <w:gridSpan w:val="2"/>
          </w:tcPr>
          <w:p w14:paraId="6FE43D7E">
            <w:pPr>
              <w:tabs>
                <w:tab w:val="left" w:pos="269"/>
              </w:tabs>
              <w:snapToGrid w:val="0"/>
              <w:rPr>
                <w:rFonts w:ascii="宋体" w:hAnsi="宋体" w:eastAsia="宋体"/>
                <w:sz w:val="24"/>
                <w:szCs w:val="24"/>
              </w:rPr>
            </w:pPr>
            <w:r>
              <w:rPr>
                <w:rFonts w:ascii="宋体" w:hAnsi="宋体" w:eastAsia="宋体"/>
                <w:sz w:val="24"/>
                <w:szCs w:val="24"/>
                <w:lang w:val="en-GB"/>
              </w:rPr>
              <w:sym w:font="Wingdings" w:char="F0A8"/>
            </w:r>
            <w:r>
              <w:rPr>
                <w:rFonts w:hint="eastAsia" w:ascii="宋体" w:hAnsi="宋体" w:eastAsia="宋体"/>
                <w:sz w:val="24"/>
                <w:szCs w:val="24"/>
                <w:lang w:val="en-GB"/>
              </w:rPr>
              <w:t xml:space="preserve"> </w:t>
            </w:r>
            <w:r>
              <w:rPr>
                <w:rFonts w:ascii="宋体" w:hAnsi="宋体" w:eastAsia="宋体"/>
                <w:sz w:val="24"/>
                <w:szCs w:val="24"/>
              </w:rPr>
              <w:t>1.在同一相关市场，参与集中的经营者所占的市场份额之和小于15%</w:t>
            </w:r>
            <w:r>
              <w:rPr>
                <w:rFonts w:hint="eastAsia" w:ascii="宋体" w:hAnsi="宋体" w:eastAsia="宋体"/>
                <w:sz w:val="24"/>
                <w:szCs w:val="24"/>
              </w:rPr>
              <w:t>。</w:t>
            </w:r>
          </w:p>
        </w:tc>
      </w:tr>
      <w:tr w14:paraId="0735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vMerge w:val="continue"/>
            <w:shd w:val="clear" w:color="auto" w:fill="D9D9D9"/>
            <w:vAlign w:val="center"/>
          </w:tcPr>
          <w:p w14:paraId="22D16539">
            <w:pPr>
              <w:snapToGrid w:val="0"/>
              <w:rPr>
                <w:rFonts w:ascii="宋体" w:hAnsi="宋体" w:eastAsia="宋体"/>
                <w:b/>
                <w:sz w:val="24"/>
                <w:szCs w:val="24"/>
              </w:rPr>
            </w:pPr>
          </w:p>
        </w:tc>
        <w:tc>
          <w:tcPr>
            <w:tcW w:w="3968" w:type="pct"/>
            <w:gridSpan w:val="2"/>
          </w:tcPr>
          <w:p w14:paraId="115A9775">
            <w:pPr>
              <w:tabs>
                <w:tab w:val="left" w:pos="269"/>
              </w:tabs>
              <w:snapToGrid w:val="0"/>
              <w:rPr>
                <w:rFonts w:ascii="宋体" w:hAnsi="宋体" w:eastAsia="宋体"/>
                <w:sz w:val="24"/>
                <w:szCs w:val="24"/>
              </w:rPr>
            </w:pPr>
            <w:r>
              <w:rPr>
                <w:rFonts w:ascii="宋体" w:hAnsi="宋体" w:eastAsia="宋体"/>
                <w:sz w:val="24"/>
                <w:szCs w:val="24"/>
                <w:lang w:val="en-GB"/>
              </w:rPr>
              <w:sym w:font="Wingdings" w:char="F0A8"/>
            </w:r>
            <w:r>
              <w:rPr>
                <w:rFonts w:hint="eastAsia" w:ascii="宋体" w:hAnsi="宋体" w:eastAsia="宋体"/>
                <w:sz w:val="24"/>
                <w:szCs w:val="24"/>
                <w:lang w:val="en-GB"/>
              </w:rPr>
              <w:t xml:space="preserve"> </w:t>
            </w:r>
            <w:r>
              <w:rPr>
                <w:rFonts w:ascii="宋体" w:hAnsi="宋体" w:eastAsia="宋体"/>
                <w:sz w:val="24"/>
                <w:szCs w:val="24"/>
              </w:rPr>
              <w:t>2.在上下游市场，参与集中的经营者所占的市场份额均小于25%</w:t>
            </w:r>
            <w:r>
              <w:rPr>
                <w:rFonts w:hint="eastAsia" w:ascii="宋体" w:hAnsi="宋体" w:eastAsia="宋体"/>
                <w:sz w:val="24"/>
                <w:szCs w:val="24"/>
              </w:rPr>
              <w:t>。</w:t>
            </w:r>
          </w:p>
        </w:tc>
      </w:tr>
      <w:tr w14:paraId="3B8C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vMerge w:val="continue"/>
            <w:shd w:val="clear" w:color="auto" w:fill="D9D9D9"/>
            <w:vAlign w:val="center"/>
          </w:tcPr>
          <w:p w14:paraId="45AD56D3">
            <w:pPr>
              <w:snapToGrid w:val="0"/>
              <w:rPr>
                <w:rFonts w:ascii="宋体" w:hAnsi="宋体" w:eastAsia="宋体"/>
                <w:b/>
                <w:sz w:val="24"/>
                <w:szCs w:val="24"/>
              </w:rPr>
            </w:pPr>
          </w:p>
        </w:tc>
        <w:tc>
          <w:tcPr>
            <w:tcW w:w="3968" w:type="pct"/>
            <w:gridSpan w:val="2"/>
          </w:tcPr>
          <w:p w14:paraId="49076878">
            <w:pPr>
              <w:tabs>
                <w:tab w:val="left" w:pos="269"/>
              </w:tabs>
              <w:snapToGrid w:val="0"/>
              <w:rPr>
                <w:rFonts w:ascii="宋体" w:hAnsi="宋体" w:eastAsia="宋体"/>
                <w:sz w:val="24"/>
                <w:szCs w:val="24"/>
              </w:rPr>
            </w:pPr>
            <w:r>
              <w:rPr>
                <w:rFonts w:ascii="宋体" w:hAnsi="宋体" w:eastAsia="宋体"/>
                <w:color w:val="000000"/>
                <w:sz w:val="24"/>
                <w:szCs w:val="24"/>
              </w:rPr>
              <w:sym w:font="Wingdings" w:char="F0FE"/>
            </w:r>
            <w:r>
              <w:rPr>
                <w:rFonts w:hint="eastAsia" w:ascii="宋体" w:hAnsi="宋体" w:eastAsia="宋体"/>
                <w:color w:val="000000"/>
                <w:sz w:val="24"/>
                <w:szCs w:val="24"/>
              </w:rPr>
              <w:t xml:space="preserve"> </w:t>
            </w:r>
            <w:r>
              <w:rPr>
                <w:rFonts w:ascii="宋体" w:hAnsi="宋体" w:eastAsia="宋体"/>
                <w:sz w:val="24"/>
                <w:szCs w:val="24"/>
              </w:rPr>
              <w:t>3.不在同一相关市场也不存在上下游关系的参与集中的经营者，在与交易有关的每个市场所占的市场份额均小于25%</w:t>
            </w:r>
            <w:r>
              <w:rPr>
                <w:rFonts w:hint="eastAsia" w:ascii="宋体" w:hAnsi="宋体" w:eastAsia="宋体"/>
                <w:sz w:val="24"/>
                <w:szCs w:val="24"/>
              </w:rPr>
              <w:t>。</w:t>
            </w:r>
          </w:p>
        </w:tc>
      </w:tr>
      <w:tr w14:paraId="2133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vMerge w:val="continue"/>
            <w:shd w:val="clear" w:color="auto" w:fill="D9D9D9"/>
            <w:vAlign w:val="center"/>
          </w:tcPr>
          <w:p w14:paraId="58B1ABF0">
            <w:pPr>
              <w:snapToGrid w:val="0"/>
              <w:rPr>
                <w:rFonts w:ascii="宋体" w:hAnsi="宋体" w:eastAsia="宋体"/>
                <w:b/>
                <w:sz w:val="24"/>
                <w:szCs w:val="24"/>
              </w:rPr>
            </w:pPr>
          </w:p>
        </w:tc>
        <w:tc>
          <w:tcPr>
            <w:tcW w:w="3968" w:type="pct"/>
            <w:gridSpan w:val="2"/>
          </w:tcPr>
          <w:p w14:paraId="534D7A6E">
            <w:pPr>
              <w:snapToGrid w:val="0"/>
              <w:rPr>
                <w:rFonts w:ascii="宋体" w:hAnsi="宋体" w:eastAsia="宋体"/>
                <w:sz w:val="24"/>
                <w:szCs w:val="24"/>
              </w:rPr>
            </w:pPr>
            <w:r>
              <w:rPr>
                <w:rFonts w:ascii="宋体" w:hAnsi="宋体" w:eastAsia="宋体"/>
                <w:sz w:val="24"/>
                <w:szCs w:val="24"/>
                <w:lang w:val="en-GB"/>
              </w:rPr>
              <w:sym w:font="Wingdings" w:char="F0A8"/>
            </w:r>
            <w:r>
              <w:rPr>
                <w:rFonts w:hint="eastAsia" w:ascii="宋体" w:hAnsi="宋体" w:eastAsia="宋体"/>
                <w:sz w:val="24"/>
                <w:szCs w:val="24"/>
                <w:lang w:val="en-GB"/>
              </w:rPr>
              <w:t xml:space="preserve"> </w:t>
            </w:r>
            <w:r>
              <w:rPr>
                <w:rFonts w:ascii="宋体" w:hAnsi="宋体" w:eastAsia="宋体"/>
                <w:sz w:val="24"/>
                <w:szCs w:val="24"/>
              </w:rPr>
              <w:t>4.</w:t>
            </w:r>
            <w:r>
              <w:rPr>
                <w:rFonts w:hint="eastAsia" w:ascii="宋体" w:hAnsi="宋体" w:eastAsia="宋体"/>
                <w:sz w:val="24"/>
                <w:szCs w:val="24"/>
              </w:rPr>
              <w:t>参与集中的经营者在中国境外设立合营企业，合营企业不在中国境内从事经济活动。</w:t>
            </w:r>
          </w:p>
        </w:tc>
      </w:tr>
      <w:tr w14:paraId="6D79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vMerge w:val="continue"/>
            <w:shd w:val="clear" w:color="auto" w:fill="D9D9D9"/>
            <w:vAlign w:val="center"/>
          </w:tcPr>
          <w:p w14:paraId="0CAA9B1B">
            <w:pPr>
              <w:snapToGrid w:val="0"/>
              <w:rPr>
                <w:rFonts w:ascii="宋体" w:hAnsi="宋体" w:eastAsia="宋体"/>
                <w:b/>
                <w:sz w:val="24"/>
                <w:szCs w:val="24"/>
              </w:rPr>
            </w:pPr>
          </w:p>
        </w:tc>
        <w:tc>
          <w:tcPr>
            <w:tcW w:w="3968" w:type="pct"/>
            <w:gridSpan w:val="2"/>
          </w:tcPr>
          <w:p w14:paraId="282ED1FA">
            <w:pPr>
              <w:snapToGrid w:val="0"/>
              <w:rPr>
                <w:rFonts w:ascii="宋体" w:hAnsi="宋体" w:eastAsia="宋体"/>
                <w:sz w:val="24"/>
                <w:szCs w:val="24"/>
              </w:rPr>
            </w:pPr>
            <w:r>
              <w:rPr>
                <w:rFonts w:ascii="宋体" w:hAnsi="宋体" w:eastAsia="宋体"/>
                <w:sz w:val="24"/>
                <w:szCs w:val="24"/>
                <w:lang w:val="en-GB"/>
              </w:rPr>
              <w:sym w:font="Wingdings" w:char="F0A8"/>
            </w:r>
            <w:r>
              <w:rPr>
                <w:rFonts w:hint="eastAsia" w:ascii="宋体" w:hAnsi="宋体" w:eastAsia="宋体"/>
                <w:sz w:val="24"/>
                <w:szCs w:val="24"/>
                <w:lang w:val="en-GB"/>
              </w:rPr>
              <w:t xml:space="preserve"> </w:t>
            </w:r>
            <w:r>
              <w:rPr>
                <w:rFonts w:ascii="宋体" w:hAnsi="宋体" w:eastAsia="宋体"/>
                <w:sz w:val="24"/>
                <w:szCs w:val="24"/>
              </w:rPr>
              <w:t>5.参与集中的经营者收购境外企业股权或资产</w:t>
            </w:r>
            <w:r>
              <w:rPr>
                <w:rFonts w:hint="eastAsia" w:ascii="宋体" w:hAnsi="宋体" w:eastAsia="宋体"/>
                <w:sz w:val="24"/>
                <w:szCs w:val="24"/>
              </w:rPr>
              <w:t>的</w:t>
            </w:r>
            <w:r>
              <w:rPr>
                <w:rFonts w:ascii="宋体" w:hAnsi="宋体" w:eastAsia="宋体"/>
                <w:sz w:val="24"/>
                <w:szCs w:val="24"/>
              </w:rPr>
              <w:t>，该境外企业不在中国境内从事经济活动</w:t>
            </w:r>
            <w:r>
              <w:rPr>
                <w:rFonts w:hint="eastAsia" w:ascii="宋体" w:hAnsi="宋体" w:eastAsia="宋体"/>
                <w:sz w:val="24"/>
                <w:szCs w:val="24"/>
              </w:rPr>
              <w:t>。</w:t>
            </w:r>
          </w:p>
        </w:tc>
      </w:tr>
      <w:tr w14:paraId="1B71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vMerge w:val="continue"/>
            <w:shd w:val="clear" w:color="auto" w:fill="D9D9D9"/>
            <w:vAlign w:val="center"/>
          </w:tcPr>
          <w:p w14:paraId="5D6FC00C">
            <w:pPr>
              <w:snapToGrid w:val="0"/>
              <w:rPr>
                <w:rFonts w:ascii="宋体" w:hAnsi="宋体" w:eastAsia="宋体"/>
                <w:b/>
                <w:sz w:val="24"/>
                <w:szCs w:val="24"/>
              </w:rPr>
            </w:pPr>
          </w:p>
        </w:tc>
        <w:tc>
          <w:tcPr>
            <w:tcW w:w="3968" w:type="pct"/>
            <w:gridSpan w:val="2"/>
          </w:tcPr>
          <w:p w14:paraId="7B1DA29E">
            <w:pPr>
              <w:snapToGrid w:val="0"/>
              <w:rPr>
                <w:rFonts w:ascii="宋体" w:hAnsi="宋体" w:eastAsia="宋体"/>
                <w:sz w:val="24"/>
                <w:szCs w:val="24"/>
              </w:rPr>
            </w:pPr>
            <w:r>
              <w:rPr>
                <w:rFonts w:ascii="宋体" w:hAnsi="宋体" w:eastAsia="宋体"/>
                <w:sz w:val="24"/>
                <w:szCs w:val="24"/>
                <w:lang w:val="en-GB"/>
              </w:rPr>
              <w:sym w:font="Wingdings" w:char="F0A8"/>
            </w:r>
            <w:r>
              <w:rPr>
                <w:rFonts w:hint="eastAsia" w:ascii="宋体" w:hAnsi="宋体" w:eastAsia="宋体"/>
                <w:sz w:val="24"/>
                <w:szCs w:val="24"/>
                <w:lang w:val="en-GB"/>
              </w:rPr>
              <w:t xml:space="preserve"> </w:t>
            </w:r>
            <w:r>
              <w:rPr>
                <w:rFonts w:ascii="宋体" w:hAnsi="宋体" w:eastAsia="宋体"/>
                <w:sz w:val="24"/>
                <w:szCs w:val="24"/>
              </w:rPr>
              <w:t>6.由两个以上</w:t>
            </w:r>
            <w:r>
              <w:rPr>
                <w:rFonts w:hint="eastAsia" w:ascii="宋体" w:hAnsi="宋体" w:eastAsia="宋体"/>
                <w:sz w:val="24"/>
                <w:szCs w:val="24"/>
              </w:rPr>
              <w:t>的</w:t>
            </w:r>
            <w:r>
              <w:rPr>
                <w:rFonts w:ascii="宋体" w:hAnsi="宋体" w:eastAsia="宋体"/>
                <w:sz w:val="24"/>
                <w:szCs w:val="24"/>
              </w:rPr>
              <w:t>经营者共同控制的合营企业，通过集中被其中一个或一个以上经营者控制</w:t>
            </w:r>
            <w:r>
              <w:rPr>
                <w:rFonts w:hint="eastAsia" w:ascii="宋体" w:hAnsi="宋体" w:eastAsia="宋体"/>
                <w:sz w:val="24"/>
                <w:szCs w:val="24"/>
              </w:rPr>
              <w:t>。</w:t>
            </w:r>
          </w:p>
        </w:tc>
      </w:tr>
      <w:tr w14:paraId="4FAA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032" w:type="pct"/>
            <w:shd w:val="clear" w:color="auto" w:fill="D9D9D9"/>
            <w:vAlign w:val="center"/>
          </w:tcPr>
          <w:p w14:paraId="79C0D6D5">
            <w:pPr>
              <w:snapToGrid w:val="0"/>
              <w:rPr>
                <w:rFonts w:ascii="宋体" w:hAnsi="宋体" w:eastAsia="宋体"/>
                <w:b/>
                <w:sz w:val="24"/>
                <w:szCs w:val="24"/>
              </w:rPr>
            </w:pPr>
            <w:r>
              <w:rPr>
                <w:rFonts w:hint="eastAsia" w:ascii="宋体" w:hAnsi="宋体" w:eastAsia="宋体"/>
                <w:b/>
                <w:sz w:val="24"/>
                <w:szCs w:val="24"/>
              </w:rPr>
              <w:t>备注</w:t>
            </w:r>
          </w:p>
        </w:tc>
        <w:tc>
          <w:tcPr>
            <w:tcW w:w="3968" w:type="pct"/>
            <w:gridSpan w:val="2"/>
          </w:tcPr>
          <w:p w14:paraId="1850C810">
            <w:pPr>
              <w:snapToGrid w:val="0"/>
              <w:rPr>
                <w:rFonts w:ascii="宋体" w:hAnsi="宋体" w:eastAsia="宋体"/>
                <w:b/>
                <w:bCs/>
                <w:sz w:val="24"/>
                <w:szCs w:val="24"/>
              </w:rPr>
            </w:pPr>
            <w:r>
              <w:rPr>
                <w:rFonts w:hint="eastAsia" w:ascii="宋体" w:hAnsi="宋体" w:eastAsia="宋体"/>
                <w:b/>
                <w:bCs/>
                <w:sz w:val="24"/>
                <w:szCs w:val="24"/>
              </w:rPr>
              <w:t>混合集中：</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9"/>
              <w:gridCol w:w="1964"/>
              <w:gridCol w:w="2404"/>
            </w:tblGrid>
            <w:tr w14:paraId="30FC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7F6CBCFA">
                  <w:pPr>
                    <w:snapToGrid w:val="0"/>
                    <w:jc w:val="center"/>
                    <w:rPr>
                      <w:rFonts w:ascii="宋体" w:hAnsi="宋体" w:eastAsia="宋体"/>
                      <w:sz w:val="24"/>
                      <w:szCs w:val="24"/>
                    </w:rPr>
                  </w:pPr>
                  <w:r>
                    <w:rPr>
                      <w:rFonts w:hint="eastAsia" w:ascii="宋体" w:hAnsi="宋体" w:eastAsia="宋体"/>
                      <w:sz w:val="24"/>
                      <w:szCs w:val="24"/>
                    </w:rPr>
                    <w:t>相关商品市场</w:t>
                  </w:r>
                </w:p>
              </w:tc>
              <w:tc>
                <w:tcPr>
                  <w:tcW w:w="2087" w:type="dxa"/>
                </w:tcPr>
                <w:p w14:paraId="1FED30D4">
                  <w:pPr>
                    <w:snapToGrid w:val="0"/>
                    <w:jc w:val="center"/>
                    <w:rPr>
                      <w:rFonts w:ascii="宋体" w:hAnsi="宋体" w:eastAsia="宋体"/>
                      <w:sz w:val="24"/>
                      <w:szCs w:val="24"/>
                    </w:rPr>
                  </w:pPr>
                  <w:r>
                    <w:rPr>
                      <w:rFonts w:hint="eastAsia" w:ascii="宋体" w:hAnsi="宋体" w:eastAsia="宋体"/>
                      <w:sz w:val="24"/>
                      <w:szCs w:val="24"/>
                    </w:rPr>
                    <w:t>相关地域市场</w:t>
                  </w:r>
                </w:p>
              </w:tc>
              <w:tc>
                <w:tcPr>
                  <w:tcW w:w="2533" w:type="dxa"/>
                </w:tcPr>
                <w:p w14:paraId="50AD63F9">
                  <w:pPr>
                    <w:snapToGrid w:val="0"/>
                    <w:jc w:val="center"/>
                    <w:rPr>
                      <w:rFonts w:ascii="宋体" w:hAnsi="宋体" w:eastAsia="宋体"/>
                      <w:sz w:val="24"/>
                      <w:szCs w:val="24"/>
                    </w:rPr>
                  </w:pPr>
                  <w:r>
                    <w:rPr>
                      <w:rFonts w:hint="eastAsia" w:ascii="宋体" w:hAnsi="宋体" w:eastAsia="宋体"/>
                      <w:sz w:val="24"/>
                      <w:szCs w:val="24"/>
                    </w:rPr>
                    <w:t>2025年市场份额</w:t>
                  </w:r>
                </w:p>
              </w:tc>
            </w:tr>
            <w:tr w14:paraId="0039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769D62DF">
                  <w:pPr>
                    <w:snapToGrid w:val="0"/>
                    <w:rPr>
                      <w:rFonts w:ascii="宋体" w:hAnsi="宋体" w:eastAsia="宋体"/>
                      <w:b/>
                      <w:bCs/>
                      <w:sz w:val="24"/>
                      <w:szCs w:val="24"/>
                    </w:rPr>
                  </w:pPr>
                  <w:r>
                    <w:rPr>
                      <w:rFonts w:hint="eastAsia" w:ascii="宋体" w:hAnsi="宋体" w:eastAsia="宋体"/>
                      <w:sz w:val="24"/>
                      <w:szCs w:val="24"/>
                    </w:rPr>
                    <w:t>动物营养性饲料添加剂市场</w:t>
                  </w:r>
                </w:p>
              </w:tc>
              <w:tc>
                <w:tcPr>
                  <w:tcW w:w="2087" w:type="dxa"/>
                </w:tcPr>
                <w:p w14:paraId="4967A44D">
                  <w:pPr>
                    <w:snapToGrid w:val="0"/>
                    <w:rPr>
                      <w:rFonts w:ascii="宋体" w:hAnsi="宋体" w:eastAsia="宋体"/>
                      <w:b/>
                      <w:bCs/>
                      <w:sz w:val="24"/>
                      <w:szCs w:val="24"/>
                    </w:rPr>
                  </w:pPr>
                  <w:r>
                    <w:rPr>
                      <w:rFonts w:hint="eastAsia" w:ascii="宋体" w:hAnsi="宋体" w:eastAsia="宋体"/>
                      <w:sz w:val="24"/>
                      <w:szCs w:val="24"/>
                    </w:rPr>
                    <w:t>中国境内</w:t>
                  </w:r>
                </w:p>
              </w:tc>
              <w:tc>
                <w:tcPr>
                  <w:tcW w:w="2533" w:type="dxa"/>
                </w:tcPr>
                <w:p w14:paraId="27E7342A">
                  <w:pPr>
                    <w:pStyle w:val="21"/>
                    <w:snapToGrid w:val="0"/>
                    <w:ind w:firstLine="0" w:firstLineChars="0"/>
                    <w:rPr>
                      <w:rFonts w:ascii="宋体" w:hAnsi="宋体" w:eastAsia="宋体"/>
                    </w:rPr>
                  </w:pPr>
                  <w:r>
                    <w:rPr>
                      <w:rFonts w:hint="eastAsia" w:ascii="宋体" w:hAnsi="宋体" w:eastAsia="宋体"/>
                      <w:sz w:val="24"/>
                      <w:szCs w:val="24"/>
                    </w:rPr>
                    <w:t>目标业务公司：5-10%</w:t>
                  </w:r>
                </w:p>
              </w:tc>
            </w:tr>
            <w:tr w14:paraId="4FF6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309" w:type="dxa"/>
                </w:tcPr>
                <w:p w14:paraId="7FB43F37">
                  <w:pPr>
                    <w:snapToGrid w:val="0"/>
                    <w:rPr>
                      <w:rFonts w:ascii="宋体" w:hAnsi="宋体" w:eastAsia="宋体"/>
                      <w:b/>
                      <w:bCs/>
                      <w:sz w:val="24"/>
                      <w:szCs w:val="24"/>
                    </w:rPr>
                  </w:pPr>
                  <w:r>
                    <w:rPr>
                      <w:rFonts w:hint="eastAsia" w:ascii="宋体" w:hAnsi="宋体" w:eastAsia="宋体"/>
                      <w:sz w:val="24"/>
                      <w:szCs w:val="24"/>
                    </w:rPr>
                    <w:t>动物添加剂预混合饲料市场</w:t>
                  </w:r>
                </w:p>
              </w:tc>
              <w:tc>
                <w:tcPr>
                  <w:tcW w:w="2087" w:type="dxa"/>
                </w:tcPr>
                <w:p w14:paraId="07C1DDC3">
                  <w:pPr>
                    <w:snapToGrid w:val="0"/>
                    <w:rPr>
                      <w:rFonts w:ascii="宋体" w:hAnsi="宋体" w:eastAsia="宋体"/>
                      <w:b/>
                      <w:bCs/>
                      <w:sz w:val="24"/>
                      <w:szCs w:val="24"/>
                    </w:rPr>
                  </w:pPr>
                  <w:r>
                    <w:rPr>
                      <w:rFonts w:hint="eastAsia" w:ascii="宋体" w:hAnsi="宋体" w:eastAsia="宋体"/>
                      <w:sz w:val="24"/>
                      <w:szCs w:val="24"/>
                    </w:rPr>
                    <w:t>中国境内</w:t>
                  </w:r>
                </w:p>
              </w:tc>
              <w:tc>
                <w:tcPr>
                  <w:tcW w:w="2533" w:type="dxa"/>
                </w:tcPr>
                <w:p w14:paraId="361E9A20">
                  <w:pPr>
                    <w:snapToGrid w:val="0"/>
                    <w:rPr>
                      <w:rFonts w:ascii="宋体" w:hAnsi="宋体" w:eastAsia="宋体"/>
                      <w:b/>
                      <w:bCs/>
                      <w:sz w:val="24"/>
                      <w:szCs w:val="24"/>
                    </w:rPr>
                  </w:pPr>
                  <w:r>
                    <w:rPr>
                      <w:rFonts w:hint="eastAsia" w:ascii="宋体" w:hAnsi="宋体" w:eastAsia="宋体"/>
                      <w:sz w:val="24"/>
                      <w:szCs w:val="24"/>
                    </w:rPr>
                    <w:t>目标业务公司：0-5%</w:t>
                  </w:r>
                </w:p>
              </w:tc>
            </w:tr>
          </w:tbl>
          <w:p w14:paraId="709CC792">
            <w:pPr>
              <w:pStyle w:val="21"/>
              <w:snapToGrid w:val="0"/>
              <w:ind w:firstLine="0" w:firstLineChars="0"/>
              <w:rPr>
                <w:rFonts w:ascii="宋体" w:hAnsi="宋体" w:eastAsia="宋体"/>
                <w:sz w:val="24"/>
                <w:szCs w:val="24"/>
              </w:rPr>
            </w:pPr>
          </w:p>
        </w:tc>
      </w:tr>
    </w:tbl>
    <w:p w14:paraId="1EB22E9D">
      <w:pPr>
        <w:widowControl/>
        <w:spacing w:after="240"/>
        <w:jc w:val="center"/>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Simplified Arabic">
    <w:altName w:val="Arial"/>
    <w:panose1 w:val="00000000000000000000"/>
    <w:charset w:val="B2"/>
    <w:family w:val="roman"/>
    <w:pitch w:val="default"/>
    <w:sig w:usb0="00000000" w:usb1="00000000" w:usb2="00000008" w:usb3="00000000" w:csb0="00000041"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0FE7C5FD"/>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7B6073A"/>
    <w:rsid w:val="182A3BC2"/>
    <w:rsid w:val="19533EE7"/>
    <w:rsid w:val="199476C8"/>
    <w:rsid w:val="1A933EF5"/>
    <w:rsid w:val="1A9B628C"/>
    <w:rsid w:val="1AA11230"/>
    <w:rsid w:val="1AEB0D31"/>
    <w:rsid w:val="1AFD6EC1"/>
    <w:rsid w:val="1B2D6269"/>
    <w:rsid w:val="1B6F3B10"/>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69DC9C"/>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CC2ACB"/>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D6F69"/>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BD9D34"/>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57535"/>
    <w:rsid w:val="5F5B3889"/>
    <w:rsid w:val="5F7404E1"/>
    <w:rsid w:val="5FB58CB9"/>
    <w:rsid w:val="5FB6906A"/>
    <w:rsid w:val="5FCE1ACE"/>
    <w:rsid w:val="5FD337B9"/>
    <w:rsid w:val="5FDBF934"/>
    <w:rsid w:val="5FDD3B5D"/>
    <w:rsid w:val="5FDD699A"/>
    <w:rsid w:val="5FEF0B5F"/>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3FD94E"/>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6FCC4E"/>
    <w:rsid w:val="71EE19CF"/>
    <w:rsid w:val="72131803"/>
    <w:rsid w:val="723024E6"/>
    <w:rsid w:val="72777687"/>
    <w:rsid w:val="72F1F85C"/>
    <w:rsid w:val="72FF0BB1"/>
    <w:rsid w:val="73026B48"/>
    <w:rsid w:val="735D723C"/>
    <w:rsid w:val="7377A20D"/>
    <w:rsid w:val="737A6056"/>
    <w:rsid w:val="737FE4CC"/>
    <w:rsid w:val="7447B6BF"/>
    <w:rsid w:val="74566BED"/>
    <w:rsid w:val="74771EBA"/>
    <w:rsid w:val="74CCB24E"/>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CF2A61"/>
    <w:rsid w:val="77D96E3F"/>
    <w:rsid w:val="77DFDD5B"/>
    <w:rsid w:val="77E6E8CB"/>
    <w:rsid w:val="77EBA785"/>
    <w:rsid w:val="77FB42A6"/>
    <w:rsid w:val="77FBAA8E"/>
    <w:rsid w:val="77FF2A2A"/>
    <w:rsid w:val="77FF6A8C"/>
    <w:rsid w:val="77FF8866"/>
    <w:rsid w:val="77FFCFC3"/>
    <w:rsid w:val="77FFEFDF"/>
    <w:rsid w:val="78410251"/>
    <w:rsid w:val="789D5404"/>
    <w:rsid w:val="78FE68D5"/>
    <w:rsid w:val="793FB7A1"/>
    <w:rsid w:val="79EC0BFB"/>
    <w:rsid w:val="79FA9BCD"/>
    <w:rsid w:val="7A66B182"/>
    <w:rsid w:val="7A9C06E1"/>
    <w:rsid w:val="7A9D28C2"/>
    <w:rsid w:val="7AB91678"/>
    <w:rsid w:val="7AF72C92"/>
    <w:rsid w:val="7B534FF9"/>
    <w:rsid w:val="7B65BD1F"/>
    <w:rsid w:val="7B7B414A"/>
    <w:rsid w:val="7B8F578C"/>
    <w:rsid w:val="7B9A66EF"/>
    <w:rsid w:val="7BAB6FC2"/>
    <w:rsid w:val="7BD6EBF8"/>
    <w:rsid w:val="7BE411F0"/>
    <w:rsid w:val="7BE78EC0"/>
    <w:rsid w:val="7BFD7C4E"/>
    <w:rsid w:val="7BFDD557"/>
    <w:rsid w:val="7BFFD823"/>
    <w:rsid w:val="7BFFE7AB"/>
    <w:rsid w:val="7C235B45"/>
    <w:rsid w:val="7C5D2D50"/>
    <w:rsid w:val="7C7918BC"/>
    <w:rsid w:val="7CBEF0D0"/>
    <w:rsid w:val="7CCB66D7"/>
    <w:rsid w:val="7CFFE32C"/>
    <w:rsid w:val="7D6F58DB"/>
    <w:rsid w:val="7DBFEE7D"/>
    <w:rsid w:val="7DCE664D"/>
    <w:rsid w:val="7DDC0FE0"/>
    <w:rsid w:val="7DDFC877"/>
    <w:rsid w:val="7E9DA405"/>
    <w:rsid w:val="7EBEB929"/>
    <w:rsid w:val="7EBFE294"/>
    <w:rsid w:val="7ED6B717"/>
    <w:rsid w:val="7EE72273"/>
    <w:rsid w:val="7EEB5729"/>
    <w:rsid w:val="7EF16FA7"/>
    <w:rsid w:val="7EF7CDD2"/>
    <w:rsid w:val="7EFF60FA"/>
    <w:rsid w:val="7EFF73B1"/>
    <w:rsid w:val="7F23145A"/>
    <w:rsid w:val="7F3EBECF"/>
    <w:rsid w:val="7F543923"/>
    <w:rsid w:val="7F7A9660"/>
    <w:rsid w:val="7F7BEB9D"/>
    <w:rsid w:val="7F7E0F79"/>
    <w:rsid w:val="7F7F4275"/>
    <w:rsid w:val="7F9E584B"/>
    <w:rsid w:val="7F9F8D24"/>
    <w:rsid w:val="7FB70FD4"/>
    <w:rsid w:val="7FBBC276"/>
    <w:rsid w:val="7FBBDAF9"/>
    <w:rsid w:val="7FBF09DE"/>
    <w:rsid w:val="7FBF2495"/>
    <w:rsid w:val="7FC761F9"/>
    <w:rsid w:val="7FD59461"/>
    <w:rsid w:val="7FDBE98D"/>
    <w:rsid w:val="7FDCAB43"/>
    <w:rsid w:val="7FE15510"/>
    <w:rsid w:val="7FE579C5"/>
    <w:rsid w:val="7FE91E78"/>
    <w:rsid w:val="7FEB3232"/>
    <w:rsid w:val="7FEDAA46"/>
    <w:rsid w:val="7FF3DAB9"/>
    <w:rsid w:val="7FF500C7"/>
    <w:rsid w:val="7FF6FCFA"/>
    <w:rsid w:val="7FFBA8A6"/>
    <w:rsid w:val="7FFCB59A"/>
    <w:rsid w:val="7FFDE69B"/>
    <w:rsid w:val="7FFF79FA"/>
    <w:rsid w:val="8A379C7D"/>
    <w:rsid w:val="8AD7B623"/>
    <w:rsid w:val="8D7FD0F6"/>
    <w:rsid w:val="8DF8C568"/>
    <w:rsid w:val="8FDDB666"/>
    <w:rsid w:val="8FFF05EE"/>
    <w:rsid w:val="93E3F016"/>
    <w:rsid w:val="97C7A0C4"/>
    <w:rsid w:val="9B3165F2"/>
    <w:rsid w:val="9BFF3CF8"/>
    <w:rsid w:val="9CBD0B1A"/>
    <w:rsid w:val="9CE361F9"/>
    <w:rsid w:val="9D7F0CB7"/>
    <w:rsid w:val="9DEFBA4D"/>
    <w:rsid w:val="9EF781DE"/>
    <w:rsid w:val="9F67B1E1"/>
    <w:rsid w:val="9F920F21"/>
    <w:rsid w:val="A7F9C1DE"/>
    <w:rsid w:val="A9AD231D"/>
    <w:rsid w:val="ABFFEBAE"/>
    <w:rsid w:val="ADFAC79E"/>
    <w:rsid w:val="AE7E1E17"/>
    <w:rsid w:val="AFC56981"/>
    <w:rsid w:val="B32F9DC2"/>
    <w:rsid w:val="B36A5A97"/>
    <w:rsid w:val="B593FB7D"/>
    <w:rsid w:val="B5A9AB31"/>
    <w:rsid w:val="B75FE11F"/>
    <w:rsid w:val="B76F907D"/>
    <w:rsid w:val="B77B2A12"/>
    <w:rsid w:val="B7DD19BE"/>
    <w:rsid w:val="B97FDC5F"/>
    <w:rsid w:val="B9B92832"/>
    <w:rsid w:val="BAED78C7"/>
    <w:rsid w:val="BBEF9792"/>
    <w:rsid w:val="BBF7C791"/>
    <w:rsid w:val="BCB7048F"/>
    <w:rsid w:val="BCF89F06"/>
    <w:rsid w:val="BD0F8C47"/>
    <w:rsid w:val="BDDF7B68"/>
    <w:rsid w:val="BEAF73DD"/>
    <w:rsid w:val="BEEE2B94"/>
    <w:rsid w:val="BF3E17A4"/>
    <w:rsid w:val="BF4F4689"/>
    <w:rsid w:val="BF8E36EE"/>
    <w:rsid w:val="BFAF0BB7"/>
    <w:rsid w:val="BFDD49E3"/>
    <w:rsid w:val="BFDF612A"/>
    <w:rsid w:val="BFDFB85E"/>
    <w:rsid w:val="BFEDABFC"/>
    <w:rsid w:val="BFEF0D5B"/>
    <w:rsid w:val="BFF739EC"/>
    <w:rsid w:val="BFF7D663"/>
    <w:rsid w:val="BFFD7287"/>
    <w:rsid w:val="BFFF84B7"/>
    <w:rsid w:val="C3F5BA26"/>
    <w:rsid w:val="CAFFD068"/>
    <w:rsid w:val="CB7D0B2D"/>
    <w:rsid w:val="CB9C4B68"/>
    <w:rsid w:val="CD7F54D6"/>
    <w:rsid w:val="CDCB4AA8"/>
    <w:rsid w:val="CDDEA08E"/>
    <w:rsid w:val="CEF6E1CE"/>
    <w:rsid w:val="CEFF7CED"/>
    <w:rsid w:val="CF6D7B38"/>
    <w:rsid w:val="CF7F6B7D"/>
    <w:rsid w:val="CFF64343"/>
    <w:rsid w:val="D3F22235"/>
    <w:rsid w:val="D49B5E3D"/>
    <w:rsid w:val="D5B58DC7"/>
    <w:rsid w:val="D5DB8D8A"/>
    <w:rsid w:val="D5FEC4D4"/>
    <w:rsid w:val="D7E88F55"/>
    <w:rsid w:val="DB33A89B"/>
    <w:rsid w:val="DD4D51D5"/>
    <w:rsid w:val="DDA91EB6"/>
    <w:rsid w:val="DDAF5738"/>
    <w:rsid w:val="DDBE5093"/>
    <w:rsid w:val="DDDE42F9"/>
    <w:rsid w:val="DDEFBA43"/>
    <w:rsid w:val="DDEFC054"/>
    <w:rsid w:val="DE871169"/>
    <w:rsid w:val="DEAFB90F"/>
    <w:rsid w:val="DEFB0BFE"/>
    <w:rsid w:val="DF1BCACA"/>
    <w:rsid w:val="DF21B821"/>
    <w:rsid w:val="DFBFBE16"/>
    <w:rsid w:val="DFD76A11"/>
    <w:rsid w:val="DFE37BA3"/>
    <w:rsid w:val="DFE797EB"/>
    <w:rsid w:val="DFEFC715"/>
    <w:rsid w:val="DFFE779E"/>
    <w:rsid w:val="DFFF4786"/>
    <w:rsid w:val="DFFFB98E"/>
    <w:rsid w:val="DFFFC5D1"/>
    <w:rsid w:val="E1B76C47"/>
    <w:rsid w:val="E3FE57E7"/>
    <w:rsid w:val="E575C7D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CFF642B"/>
    <w:rsid w:val="ED9DB8D5"/>
    <w:rsid w:val="EDDB1346"/>
    <w:rsid w:val="EDF3771B"/>
    <w:rsid w:val="EDFF0807"/>
    <w:rsid w:val="EDFF9922"/>
    <w:rsid w:val="EEC40EE9"/>
    <w:rsid w:val="EF7B63E3"/>
    <w:rsid w:val="EF7F4E2A"/>
    <w:rsid w:val="EF7F9BE8"/>
    <w:rsid w:val="EFC62B3A"/>
    <w:rsid w:val="EFCDBC8D"/>
    <w:rsid w:val="EFEB6844"/>
    <w:rsid w:val="EFFF0144"/>
    <w:rsid w:val="EFFFDD70"/>
    <w:rsid w:val="F1B778F1"/>
    <w:rsid w:val="F3FF743F"/>
    <w:rsid w:val="F4FF55F7"/>
    <w:rsid w:val="F5F7F5CB"/>
    <w:rsid w:val="F5F97876"/>
    <w:rsid w:val="F6654662"/>
    <w:rsid w:val="F76CF7E9"/>
    <w:rsid w:val="F7AF1F56"/>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ACFC1E"/>
    <w:rsid w:val="FBCE4D19"/>
    <w:rsid w:val="FBDBEF41"/>
    <w:rsid w:val="FBEF3D0A"/>
    <w:rsid w:val="FBF72686"/>
    <w:rsid w:val="FBFD1159"/>
    <w:rsid w:val="FBFE1D07"/>
    <w:rsid w:val="FBFF5E75"/>
    <w:rsid w:val="FCAB2178"/>
    <w:rsid w:val="FCFF1C85"/>
    <w:rsid w:val="FCFFC232"/>
    <w:rsid w:val="FD251190"/>
    <w:rsid w:val="FD4FEBD9"/>
    <w:rsid w:val="FD6F06FA"/>
    <w:rsid w:val="FD7DE192"/>
    <w:rsid w:val="FDBF10AA"/>
    <w:rsid w:val="FDBF3869"/>
    <w:rsid w:val="FDBFFDC9"/>
    <w:rsid w:val="FDC957A0"/>
    <w:rsid w:val="FDCF7416"/>
    <w:rsid w:val="FDD466DA"/>
    <w:rsid w:val="FDD6A258"/>
    <w:rsid w:val="FDFBDE23"/>
    <w:rsid w:val="FDFE7162"/>
    <w:rsid w:val="FDFF8E6F"/>
    <w:rsid w:val="FE4F1E64"/>
    <w:rsid w:val="FE5FA0A2"/>
    <w:rsid w:val="FEAEC70B"/>
    <w:rsid w:val="FEBD1401"/>
    <w:rsid w:val="FEE78FD0"/>
    <w:rsid w:val="FEF339DB"/>
    <w:rsid w:val="FEFB2882"/>
    <w:rsid w:val="FEFC5F3D"/>
    <w:rsid w:val="FEFD2C3B"/>
    <w:rsid w:val="FF57FBD6"/>
    <w:rsid w:val="FF5F2CB5"/>
    <w:rsid w:val="FF5FC2B3"/>
    <w:rsid w:val="FF7645E0"/>
    <w:rsid w:val="FFB70466"/>
    <w:rsid w:val="FFBC3961"/>
    <w:rsid w:val="FFCF003E"/>
    <w:rsid w:val="FFEE6CF6"/>
    <w:rsid w:val="FFEF9B99"/>
    <w:rsid w:val="FFF7BE83"/>
    <w:rsid w:val="FFF96CC2"/>
    <w:rsid w:val="FFFD3239"/>
    <w:rsid w:val="FFFF08DF"/>
    <w:rsid w:val="FFFF1C5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20"/>
    <w:unhideWhenUsed/>
    <w:qFormat/>
    <w:uiPriority w:val="99"/>
    <w:pPr>
      <w:spacing w:after="120"/>
    </w:pPr>
  </w:style>
  <w:style w:type="paragraph" w:styleId="8">
    <w:name w:val="footer"/>
    <w:basedOn w:val="1"/>
    <w:link w:val="19"/>
    <w:qFormat/>
    <w:uiPriority w:val="0"/>
    <w:pPr>
      <w:tabs>
        <w:tab w:val="center" w:pos="4153"/>
        <w:tab w:val="right" w:pos="8306"/>
      </w:tabs>
      <w:snapToGrid w:val="0"/>
      <w:jc w:val="left"/>
    </w:pPr>
    <w:rPr>
      <w:sz w:val="18"/>
      <w:szCs w:val="18"/>
    </w:rPr>
  </w:style>
  <w:style w:type="paragraph" w:styleId="9">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Body Text First Indent"/>
    <w:basedOn w:val="7"/>
    <w:qFormat/>
    <w:uiPriority w:val="0"/>
    <w:pPr>
      <w:ind w:firstLine="420" w:firstLineChars="100"/>
    </w:pPr>
  </w:style>
  <w:style w:type="table" w:styleId="14">
    <w:name w:val="Table Grid"/>
    <w:basedOn w:val="1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page number"/>
    <w:qFormat/>
    <w:uiPriority w:val="0"/>
    <w:rPr>
      <w:rFonts w:ascii="Times New Roman" w:hAnsi="Times New Roman" w:eastAsia="宋体" w:cs="Simplified Arabic"/>
      <w:sz w:val="24"/>
      <w:szCs w:val="24"/>
      <w:lang w:val="en-GB" w:bidi="ar-AE"/>
    </w:rPr>
  </w:style>
  <w:style w:type="character" w:styleId="17">
    <w:name w:val="annotation reference"/>
    <w:basedOn w:val="15"/>
    <w:qFormat/>
    <w:uiPriority w:val="0"/>
    <w:rPr>
      <w:sz w:val="21"/>
      <w:szCs w:val="21"/>
    </w:rPr>
  </w:style>
  <w:style w:type="character" w:customStyle="1" w:styleId="18">
    <w:name w:val="页眉 字符"/>
    <w:basedOn w:val="15"/>
    <w:link w:val="9"/>
    <w:qFormat/>
    <w:uiPriority w:val="0"/>
    <w:rPr>
      <w:rFonts w:ascii="Times New Roman" w:hAnsi="Times New Roman" w:eastAsia="宋体" w:cs="Times New Roman"/>
      <w:kern w:val="2"/>
      <w:sz w:val="18"/>
      <w:szCs w:val="18"/>
    </w:rPr>
  </w:style>
  <w:style w:type="character" w:customStyle="1" w:styleId="19">
    <w:name w:val="页脚 字符"/>
    <w:basedOn w:val="15"/>
    <w:link w:val="8"/>
    <w:qFormat/>
    <w:uiPriority w:val="0"/>
    <w:rPr>
      <w:rFonts w:ascii="Times New Roman" w:hAnsi="Times New Roman" w:eastAsia="宋体" w:cs="Times New Roman"/>
      <w:kern w:val="2"/>
      <w:sz w:val="18"/>
      <w:szCs w:val="18"/>
    </w:rPr>
  </w:style>
  <w:style w:type="character" w:customStyle="1" w:styleId="20">
    <w:name w:val="正文文本 字符"/>
    <w:basedOn w:val="15"/>
    <w:link w:val="7"/>
    <w:qFormat/>
    <w:uiPriority w:val="99"/>
    <w:rPr>
      <w:rFonts w:ascii="Times New Roman" w:hAnsi="Times New Roman" w:eastAsia="宋体" w:cs="Times New Roman"/>
      <w:kern w:val="2"/>
      <w:sz w:val="21"/>
      <w:szCs w:val="24"/>
    </w:rPr>
  </w:style>
  <w:style w:type="paragraph" w:styleId="21">
    <w:name w:val="List Paragraph"/>
    <w:basedOn w:val="1"/>
    <w:qFormat/>
    <w:uiPriority w:val="99"/>
    <w:pPr>
      <w:ind w:firstLine="420" w:firstLineChars="200"/>
    </w:pPr>
  </w:style>
  <w:style w:type="paragraph" w:customStyle="1" w:styleId="22">
    <w:name w:val="Footer Right"/>
    <w:basedOn w:val="8"/>
    <w:qFormat/>
    <w:uiPriority w:val="0"/>
    <w:pPr>
      <w:jc w:val="right"/>
    </w:pPr>
  </w:style>
  <w:style w:type="paragraph" w:customStyle="1" w:styleId="23">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900</Words>
  <Characters>1044</Characters>
  <Lines>116</Lines>
  <Paragraphs>97</Paragraphs>
  <TotalTime>80</TotalTime>
  <ScaleCrop>false</ScaleCrop>
  <LinksUpToDate>false</LinksUpToDate>
  <CharactersWithSpaces>1847</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2025-03-16T01:36:00Z</dcterms:created>
  <dc:creator>张斌（反垄断处）</dc:creator>
  <cp:lastModifiedBy>何秋蓉</cp:lastModifiedBy>
  <cp:lastPrinted>2026-03-25T09:13:00Z</cp:lastPrinted>
  <dcterms:modified xsi:type="dcterms:W3CDTF">2026-04-17T11:01:15Z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2F510BCF826C43248232D30198221AB7</vt:lpwstr>
  </property>
  <property fmtid="{D5CDD505-2E9C-101B-9397-08002B2CF9AE}" pid="4" name="KSOTemplateDocerSaveRecord">
    <vt:lpwstr>eyJoZGlkIjoiZTk1Nzg2Yzk0OTU3YjY2MGZjZDE3YjZmMzRiYmI2NzMiLCJ1c2VySWQiOiIxMTgwOTEyNzczIn0=</vt:lpwstr>
  </property>
</Properties>
</file>