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A9347">
      <w:pPr>
        <w:widowControl/>
        <w:spacing w:after="240"/>
        <w:jc w:val="center"/>
        <w:rPr>
          <w:rFonts w:hint="eastAsia" w:ascii="方正小标宋简体" w:hAnsi="方正小标宋简体" w:eastAsia="方正小标宋简体" w:cs="方正小标宋简体"/>
          <w:kern w:val="0"/>
          <w:sz w:val="44"/>
          <w:szCs w:val="44"/>
          <w:lang w:val="en-GB" w:bidi="ar"/>
        </w:rPr>
      </w:pPr>
      <w:bookmarkStart w:id="0" w:name="_GoBack"/>
      <w:bookmarkEnd w:id="0"/>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06F0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077A705D">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293D0335">
            <w:pPr>
              <w:widowControl/>
              <w:adjustRightInd w:val="0"/>
              <w:snapToGrid w:val="0"/>
              <w:rPr>
                <w:bCs/>
                <w:color w:val="000000"/>
                <w:sz w:val="24"/>
              </w:rPr>
            </w:pPr>
            <w:r>
              <w:rPr>
                <w:rFonts w:hint="eastAsia"/>
                <w:sz w:val="24"/>
              </w:rPr>
              <w:t>鸿海精密工业股份有限公司收购三菱扶桑巴士制造株式会社股权案</w:t>
            </w:r>
          </w:p>
        </w:tc>
      </w:tr>
      <w:tr w14:paraId="5A95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7799A34">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7CD30CF5">
            <w:pPr>
              <w:keepNext w:val="0"/>
              <w:keepLines w:val="0"/>
              <w:pageBreakBefore w:val="0"/>
              <w:widowControl/>
              <w:kinsoku/>
              <w:wordWrap/>
              <w:overflowPunct/>
              <w:topLinePunct w:val="0"/>
              <w:autoSpaceDE/>
              <w:autoSpaceDN/>
              <w:bidi w:val="0"/>
              <w:adjustRightInd w:val="0"/>
              <w:snapToGrid w:val="0"/>
              <w:ind w:firstLine="480" w:firstLineChars="200"/>
              <w:textAlignment w:val="auto"/>
              <w:rPr>
                <w:sz w:val="24"/>
              </w:rPr>
            </w:pPr>
            <w:r>
              <w:rPr>
                <w:rFonts w:hint="eastAsia"/>
                <w:sz w:val="24"/>
              </w:rPr>
              <w:t>鸿海精密工业股份有限公司（“</w:t>
            </w:r>
            <w:r>
              <w:rPr>
                <w:rFonts w:hint="eastAsia"/>
                <w:b/>
                <w:bCs/>
                <w:sz w:val="24"/>
              </w:rPr>
              <w:t>鸿海</w:t>
            </w:r>
            <w:r>
              <w:rPr>
                <w:rFonts w:hint="eastAsia"/>
                <w:sz w:val="24"/>
              </w:rPr>
              <w:t>”）通过其子公司，与三菱扶桑卡客车株式会社（“</w:t>
            </w:r>
            <w:r>
              <w:rPr>
                <w:rFonts w:hint="eastAsia"/>
                <w:b/>
                <w:bCs/>
                <w:sz w:val="24"/>
              </w:rPr>
              <w:t>三菱扶桑</w:t>
            </w:r>
            <w:r>
              <w:rPr>
                <w:rFonts w:hint="eastAsia"/>
                <w:sz w:val="24"/>
              </w:rPr>
              <w:t>”）签署协议，鸿海将收购三菱扶桑巴士制造株式会社（“</w:t>
            </w:r>
            <w:r>
              <w:rPr>
                <w:rFonts w:hint="eastAsia"/>
                <w:b/>
                <w:bCs/>
                <w:sz w:val="24"/>
              </w:rPr>
              <w:t>目标公司</w:t>
            </w:r>
            <w:r>
              <w:rPr>
                <w:rFonts w:hint="eastAsia"/>
                <w:sz w:val="24"/>
              </w:rPr>
              <w:t>”）50%的股权。目标公司将从事客车的研发、制造与销售业务。交易前，三菱扶桑持有目标公司100%的股权，单独控制目标公司。交易后，鸿海和三菱扶桑将分别持有目标公司50%股权，鸿海和三菱扶桑共同控制目标公司。</w:t>
            </w:r>
          </w:p>
        </w:tc>
      </w:tr>
      <w:tr w14:paraId="74F3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6161E2B1">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7880F191">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鸿海</w:t>
            </w:r>
          </w:p>
        </w:tc>
        <w:tc>
          <w:tcPr>
            <w:tcW w:w="6224" w:type="dxa"/>
            <w:vAlign w:val="center"/>
          </w:tcPr>
          <w:p w14:paraId="11AE31E7">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lang w:eastAsia="zh-CN"/>
              </w:rPr>
              <w:t>鸿海</w:t>
            </w:r>
            <w:r>
              <w:rPr>
                <w:rFonts w:hint="eastAsia"/>
                <w:sz w:val="24"/>
              </w:rPr>
              <w:t>于1974年2月20日在中国台湾设立，为台湾证券交易所上市公司，是一家跨国电子制造商。</w:t>
            </w:r>
          </w:p>
          <w:p w14:paraId="6EDB455E">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bCs/>
                <w:color w:val="000000"/>
                <w:sz w:val="24"/>
              </w:rPr>
            </w:pPr>
            <w:r>
              <w:rPr>
                <w:rFonts w:hint="eastAsia"/>
                <w:sz w:val="24"/>
                <w:lang w:eastAsia="zh-CN"/>
              </w:rPr>
              <w:t>鸿海</w:t>
            </w:r>
            <w:r>
              <w:rPr>
                <w:rFonts w:hint="eastAsia"/>
                <w:sz w:val="24"/>
              </w:rPr>
              <w:t>无最终控制人。</w:t>
            </w:r>
          </w:p>
        </w:tc>
      </w:tr>
      <w:tr w14:paraId="06A0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2E264A4F">
            <w:pPr>
              <w:pStyle w:val="7"/>
              <w:widowControl/>
              <w:adjustRightInd w:val="0"/>
              <w:snapToGrid w:val="0"/>
              <w:spacing w:after="0"/>
              <w:jc w:val="center"/>
              <w:rPr>
                <w:bCs/>
                <w:color w:val="000000"/>
                <w:sz w:val="24"/>
              </w:rPr>
            </w:pPr>
          </w:p>
        </w:tc>
        <w:tc>
          <w:tcPr>
            <w:tcW w:w="1476" w:type="dxa"/>
            <w:vAlign w:val="center"/>
          </w:tcPr>
          <w:p w14:paraId="72C524E4">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三菱扶桑</w:t>
            </w:r>
          </w:p>
        </w:tc>
        <w:tc>
          <w:tcPr>
            <w:tcW w:w="6224" w:type="dxa"/>
            <w:vAlign w:val="center"/>
          </w:tcPr>
          <w:p w14:paraId="43BB8B2F">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三菱扶桑于2003年1月6日在日本设立，主要从事扶桑（FUSO）和Rizon品牌下轻型至重型货车及客车的制造与批发供应业务。</w:t>
            </w:r>
          </w:p>
          <w:p w14:paraId="4D0A6E64">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sz w:val="24"/>
              </w:rPr>
            </w:pPr>
            <w:r>
              <w:rPr>
                <w:rFonts w:hint="eastAsia"/>
                <w:sz w:val="24"/>
              </w:rPr>
              <w:t>三菱扶桑目前最终控制人为戴姆勒卡车控股公司和丰田汽车株式会社（“</w:t>
            </w:r>
            <w:r>
              <w:rPr>
                <w:rFonts w:hint="eastAsia"/>
                <w:b/>
                <w:bCs/>
                <w:sz w:val="24"/>
              </w:rPr>
              <w:t>丰田汽车</w:t>
            </w:r>
            <w:r>
              <w:rPr>
                <w:rFonts w:hint="eastAsia"/>
                <w:sz w:val="24"/>
              </w:rPr>
              <w:t>”），戴姆勒卡车控股公司主要通过戴姆勒卡车股份有限公司开展轻型、中型和大型货车、城市及城际客车、长途客车、工业发动机的制造以及提供部分金融服务。丰田汽车主要从事汽车及零配件的设计、制造、组装和销售以及金融等业务。</w:t>
            </w:r>
          </w:p>
        </w:tc>
      </w:tr>
      <w:tr w14:paraId="757E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255F4C5D">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5629163B">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1、在同一相关市场，参与集中的经营者所占市场份额之和小于15%。</w:t>
            </w:r>
          </w:p>
        </w:tc>
      </w:tr>
      <w:tr w14:paraId="1805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6D7BCC35">
            <w:pPr>
              <w:pStyle w:val="7"/>
              <w:widowControl/>
              <w:adjustRightInd w:val="0"/>
              <w:snapToGrid w:val="0"/>
              <w:spacing w:after="0"/>
              <w:jc w:val="center"/>
              <w:rPr>
                <w:bCs/>
                <w:color w:val="000000"/>
                <w:sz w:val="24"/>
              </w:rPr>
            </w:pPr>
          </w:p>
        </w:tc>
        <w:tc>
          <w:tcPr>
            <w:tcW w:w="7700" w:type="dxa"/>
            <w:gridSpan w:val="2"/>
            <w:vAlign w:val="center"/>
          </w:tcPr>
          <w:p w14:paraId="303495D5">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2、在上下游市场，参与集中的经营者所占的市场份额均小于25%。</w:t>
            </w:r>
          </w:p>
        </w:tc>
      </w:tr>
      <w:tr w14:paraId="2850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999A368">
            <w:pPr>
              <w:pStyle w:val="7"/>
              <w:widowControl/>
              <w:adjustRightInd w:val="0"/>
              <w:snapToGrid w:val="0"/>
              <w:spacing w:after="0"/>
              <w:jc w:val="center"/>
              <w:rPr>
                <w:bCs/>
                <w:color w:val="000000"/>
                <w:sz w:val="24"/>
              </w:rPr>
            </w:pPr>
          </w:p>
        </w:tc>
        <w:tc>
          <w:tcPr>
            <w:tcW w:w="7700" w:type="dxa"/>
            <w:gridSpan w:val="2"/>
            <w:vAlign w:val="center"/>
          </w:tcPr>
          <w:p w14:paraId="4C953B05">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089B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270CF284">
            <w:pPr>
              <w:pStyle w:val="7"/>
              <w:widowControl/>
              <w:adjustRightInd w:val="0"/>
              <w:snapToGrid w:val="0"/>
              <w:spacing w:after="0"/>
              <w:jc w:val="center"/>
              <w:rPr>
                <w:bCs/>
                <w:color w:val="000000"/>
                <w:sz w:val="24"/>
              </w:rPr>
            </w:pPr>
          </w:p>
        </w:tc>
        <w:tc>
          <w:tcPr>
            <w:tcW w:w="7700" w:type="dxa"/>
            <w:gridSpan w:val="2"/>
            <w:vAlign w:val="center"/>
          </w:tcPr>
          <w:p w14:paraId="340E105B">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61F19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1AA28917">
            <w:pPr>
              <w:pStyle w:val="7"/>
              <w:widowControl/>
              <w:adjustRightInd w:val="0"/>
              <w:snapToGrid w:val="0"/>
              <w:spacing w:after="0"/>
              <w:jc w:val="center"/>
              <w:rPr>
                <w:bCs/>
                <w:color w:val="000000"/>
                <w:sz w:val="24"/>
              </w:rPr>
            </w:pPr>
          </w:p>
        </w:tc>
        <w:tc>
          <w:tcPr>
            <w:tcW w:w="7700" w:type="dxa"/>
            <w:gridSpan w:val="2"/>
            <w:vAlign w:val="center"/>
          </w:tcPr>
          <w:p w14:paraId="6BFAF1AE">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5、参与集中的经营者收购境外企业股权或资产的，该境外企业不在中国境内从事经济活动。</w:t>
            </w:r>
          </w:p>
        </w:tc>
      </w:tr>
      <w:tr w14:paraId="2E49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5C7ABDFD">
            <w:pPr>
              <w:pStyle w:val="7"/>
              <w:widowControl/>
              <w:adjustRightInd w:val="0"/>
              <w:snapToGrid w:val="0"/>
              <w:spacing w:after="0"/>
              <w:jc w:val="center"/>
              <w:rPr>
                <w:bCs/>
                <w:color w:val="000000"/>
                <w:sz w:val="24"/>
              </w:rPr>
            </w:pPr>
          </w:p>
        </w:tc>
        <w:tc>
          <w:tcPr>
            <w:tcW w:w="7700" w:type="dxa"/>
            <w:gridSpan w:val="2"/>
            <w:vAlign w:val="center"/>
          </w:tcPr>
          <w:p w14:paraId="38A1A419">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3628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14:paraId="158AAC41">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2F84C515">
            <w:pPr>
              <w:pStyle w:val="7"/>
              <w:widowControl/>
              <w:adjustRightInd w:val="0"/>
              <w:snapToGrid w:val="0"/>
              <w:spacing w:after="0"/>
              <w:rPr>
                <w:rFonts w:hint="eastAsia"/>
                <w:bCs/>
                <w:color w:val="000000"/>
                <w:kern w:val="0"/>
                <w:sz w:val="24"/>
              </w:rPr>
            </w:pPr>
            <w:r>
              <w:rPr>
                <w:rFonts w:hint="eastAsia"/>
                <w:b w:val="0"/>
                <w:bCs/>
                <w:color w:val="000000"/>
                <w:kern w:val="0"/>
                <w:sz w:val="24"/>
                <w:lang w:val="en-GB" w:eastAsia="zh-CN"/>
              </w:rPr>
              <w:t>不适用</w:t>
            </w:r>
          </w:p>
        </w:tc>
      </w:tr>
    </w:tbl>
    <w:p w14:paraId="560A0C2B">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EE19CF"/>
    <w:rsid w:val="72131803"/>
    <w:rsid w:val="723024E6"/>
    <w:rsid w:val="72777687"/>
    <w:rsid w:val="73026B48"/>
    <w:rsid w:val="735D723C"/>
    <w:rsid w:val="7377A20D"/>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DD5B"/>
    <w:rsid w:val="77E6E8CB"/>
    <w:rsid w:val="77FB42A6"/>
    <w:rsid w:val="77FBAA8E"/>
    <w:rsid w:val="77FF6A8C"/>
    <w:rsid w:val="77FF8866"/>
    <w:rsid w:val="77FFCFC3"/>
    <w:rsid w:val="77FFEFDF"/>
    <w:rsid w:val="78410251"/>
    <w:rsid w:val="789D5404"/>
    <w:rsid w:val="78DB25C1"/>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D7C4E"/>
    <w:rsid w:val="7BFDD557"/>
    <w:rsid w:val="7BFFD823"/>
    <w:rsid w:val="7BFFE06B"/>
    <w:rsid w:val="7BFFE7AB"/>
    <w:rsid w:val="7C235B45"/>
    <w:rsid w:val="7C5D2D50"/>
    <w:rsid w:val="7C7918BC"/>
    <w:rsid w:val="7CBEF0D0"/>
    <w:rsid w:val="7CCB66D7"/>
    <w:rsid w:val="7CFFE32C"/>
    <w:rsid w:val="7D6F58DB"/>
    <w:rsid w:val="7DBFEE7D"/>
    <w:rsid w:val="7DCE664D"/>
    <w:rsid w:val="7DDC0FE0"/>
    <w:rsid w:val="7DDFC877"/>
    <w:rsid w:val="7E7AE9C0"/>
    <w:rsid w:val="7E9DA405"/>
    <w:rsid w:val="7EBEB929"/>
    <w:rsid w:val="7ED6B717"/>
    <w:rsid w:val="7EE72273"/>
    <w:rsid w:val="7EEB5729"/>
    <w:rsid w:val="7EF16FA7"/>
    <w:rsid w:val="7EF7CDD2"/>
    <w:rsid w:val="7EFF73B1"/>
    <w:rsid w:val="7F23145A"/>
    <w:rsid w:val="7F3EBECF"/>
    <w:rsid w:val="7F543923"/>
    <w:rsid w:val="7F7BEB9D"/>
    <w:rsid w:val="7F7E0F79"/>
    <w:rsid w:val="7F7F4275"/>
    <w:rsid w:val="7F9E584B"/>
    <w:rsid w:val="7F9F8D24"/>
    <w:rsid w:val="7FB70FD4"/>
    <w:rsid w:val="7FBBC276"/>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FF3CF8"/>
    <w:rsid w:val="9CBD0B1A"/>
    <w:rsid w:val="9CE361F9"/>
    <w:rsid w:val="9D7F0CB7"/>
    <w:rsid w:val="9DEFBA4D"/>
    <w:rsid w:val="9EF781DE"/>
    <w:rsid w:val="9F67B1E1"/>
    <w:rsid w:val="9F920F21"/>
    <w:rsid w:val="A7F9C1DE"/>
    <w:rsid w:val="A9AD231D"/>
    <w:rsid w:val="ADFAC79E"/>
    <w:rsid w:val="AE7E1E17"/>
    <w:rsid w:val="AFC56981"/>
    <w:rsid w:val="B32F9DC2"/>
    <w:rsid w:val="B593FB7D"/>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6F7EC5"/>
    <w:rsid w:val="CB7D0B2D"/>
    <w:rsid w:val="CB9C4B68"/>
    <w:rsid w:val="CD7F54D6"/>
    <w:rsid w:val="CDCB4AA8"/>
    <w:rsid w:val="CDDEA08E"/>
    <w:rsid w:val="CEFF7CED"/>
    <w:rsid w:val="CF7F6B7D"/>
    <w:rsid w:val="CFF64343"/>
    <w:rsid w:val="D3F22235"/>
    <w:rsid w:val="D49B5E3D"/>
    <w:rsid w:val="D5B58DC7"/>
    <w:rsid w:val="D5DB8D8A"/>
    <w:rsid w:val="D7E88F55"/>
    <w:rsid w:val="DB33A89B"/>
    <w:rsid w:val="DBF3BC9D"/>
    <w:rsid w:val="DD4D51D5"/>
    <w:rsid w:val="DDA91EB6"/>
    <w:rsid w:val="DDAF5738"/>
    <w:rsid w:val="DDBE5093"/>
    <w:rsid w:val="DDDE42F9"/>
    <w:rsid w:val="DDEFBA43"/>
    <w:rsid w:val="DDEFC054"/>
    <w:rsid w:val="DE871169"/>
    <w:rsid w:val="DEAFB90F"/>
    <w:rsid w:val="DEB7064A"/>
    <w:rsid w:val="DEFB0BFE"/>
    <w:rsid w:val="DF21B821"/>
    <w:rsid w:val="DFAF05F1"/>
    <w:rsid w:val="DFBFBE16"/>
    <w:rsid w:val="DFD76A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F7B63E3"/>
    <w:rsid w:val="EF7F4E2A"/>
    <w:rsid w:val="EF7F9BE8"/>
    <w:rsid w:val="EFC62B3A"/>
    <w:rsid w:val="EFCDBC8D"/>
    <w:rsid w:val="EFFF0144"/>
    <w:rsid w:val="EFFFDD70"/>
    <w:rsid w:val="F1B778F1"/>
    <w:rsid w:val="F3FF743F"/>
    <w:rsid w:val="F4FF55F7"/>
    <w:rsid w:val="F5F7F5CB"/>
    <w:rsid w:val="F5F97876"/>
    <w:rsid w:val="F6654662"/>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339DB"/>
    <w:rsid w:val="FEFB2882"/>
    <w:rsid w:val="FEFD2C3B"/>
    <w:rsid w:val="FF57FBD6"/>
    <w:rsid w:val="FF5F2CB5"/>
    <w:rsid w:val="FF5FC2B3"/>
    <w:rsid w:val="FF7645E0"/>
    <w:rsid w:val="FFB70466"/>
    <w:rsid w:val="FFBC3961"/>
    <w:rsid w:val="FFCF003E"/>
    <w:rsid w:val="FFEE6CF6"/>
    <w:rsid w:val="FFEF9B99"/>
    <w:rsid w:val="FFF7BE83"/>
    <w:rsid w:val="FFF854DA"/>
    <w:rsid w:val="FFFAE137"/>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1687</Words>
  <Characters>1799</Characters>
  <Lines>116</Lines>
  <Paragraphs>97</Paragraphs>
  <TotalTime>46</TotalTime>
  <ScaleCrop>false</ScaleCrop>
  <LinksUpToDate>false</LinksUpToDate>
  <CharactersWithSpaces>1919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2025-03-14T17:36:00Z</dcterms:created>
  <dc:creator>张斌（反垄断处）</dc:creator>
  <cp:lastModifiedBy>郑玉丽</cp:lastModifiedBy>
  <cp:lastPrinted>2026-03-11T15:56:00Z</cp:lastPrinted>
  <dcterms:modified xsi:type="dcterms:W3CDTF">2026-04-20T03:43:45Z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E7571DAC3AB9C43181E2E1691137DB9C</vt:lpwstr>
  </property>
  <property fmtid="{D5CDD505-2E9C-101B-9397-08002B2CF9AE}" pid="4" name="KSOTemplateDocerSaveRecord">
    <vt:lpwstr>eyJoZGlkIjoiODNjM2VkZWUwYjdkZDYzZGY2NmZiZGNiZGIyMjFjYWIiLCJ1c2VySWQiOiIxMjE0ODEzMDc5In0=</vt:lpwstr>
  </property>
</Properties>
</file>