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A0AF74">
      <w:pPr>
        <w:widowControl/>
        <w:spacing w:after="240" w:line="594" w:lineRule="exact"/>
        <w:jc w:val="center"/>
        <w:rPr>
          <w:rFonts w:ascii="黑体" w:hAnsi="黑体" w:eastAsia="黑体" w:cs="黑体"/>
          <w:bCs/>
          <w:kern w:val="0"/>
          <w:sz w:val="36"/>
          <w:szCs w:val="36"/>
          <w:lang w:val="en-GB" w:bidi="ar-AE"/>
        </w:rPr>
      </w:pPr>
      <w:r>
        <w:rPr>
          <w:rFonts w:hint="eastAsia" w:ascii="黑体" w:hAnsi="黑体" w:eastAsia="黑体" w:cs="黑体"/>
          <w:bCs/>
          <w:kern w:val="0"/>
          <w:sz w:val="36"/>
          <w:szCs w:val="36"/>
          <w:lang w:val="en-GB" w:bidi="ar-AE"/>
        </w:rPr>
        <w:t>经营者集中简易案件公示表</w:t>
      </w:r>
    </w:p>
    <w:tbl>
      <w:tblPr>
        <w:tblStyle w:val="10"/>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34"/>
        <w:gridCol w:w="6266"/>
      </w:tblGrid>
      <w:tr w14:paraId="109D2C17">
        <w:trPr>
          <w:trHeight w:val="732" w:hRule="atLeast"/>
        </w:trPr>
        <w:tc>
          <w:tcPr>
            <w:tcW w:w="1940" w:type="dxa"/>
            <w:shd w:val="clear" w:color="auto" w:fill="D9D9D9"/>
            <w:vAlign w:val="center"/>
          </w:tcPr>
          <w:p w14:paraId="0D77F1C0">
            <w:pPr>
              <w:pStyle w:val="7"/>
              <w:adjustRightInd w:val="0"/>
              <w:snapToGrid w:val="0"/>
              <w:spacing w:after="0"/>
              <w:rPr>
                <w:rFonts w:ascii="宋体" w:hAnsi="宋体" w:cs="宋体"/>
                <w:bCs/>
                <w:color w:val="000000"/>
                <w:lang w:val="en-US"/>
              </w:rPr>
            </w:pPr>
            <w:r>
              <w:rPr>
                <w:rFonts w:hint="eastAsia" w:ascii="宋体" w:hAnsi="宋体" w:cs="宋体"/>
                <w:bCs/>
                <w:color w:val="000000"/>
              </w:rPr>
              <w:t>案件名称</w:t>
            </w:r>
          </w:p>
        </w:tc>
        <w:tc>
          <w:tcPr>
            <w:tcW w:w="7700" w:type="dxa"/>
            <w:gridSpan w:val="2"/>
            <w:vAlign w:val="center"/>
          </w:tcPr>
          <w:p w14:paraId="4D8208EC">
            <w:pPr>
              <w:widowControl/>
              <w:adjustRightInd w:val="0"/>
              <w:snapToGrid w:val="0"/>
              <w:rPr>
                <w:rFonts w:ascii="宋体" w:hAnsi="宋体" w:cs="宋体"/>
                <w:bCs/>
                <w:color w:val="000000"/>
                <w:kern w:val="0"/>
                <w:sz w:val="24"/>
                <w:lang w:bidi="ar-AE"/>
              </w:rPr>
            </w:pPr>
            <w:r>
              <w:rPr>
                <w:rFonts w:hint="eastAsia" w:ascii="宋体" w:hAnsi="宋体" w:cs="宋体"/>
                <w:bCs/>
                <w:color w:val="000000"/>
                <w:kern w:val="0"/>
                <w:sz w:val="24"/>
                <w:lang w:bidi="ar-AE"/>
              </w:rPr>
              <w:t>重庆长安汽车股份有限公司与江铃汽车集团有限公司收购江铃控股有限公司股权案</w:t>
            </w:r>
          </w:p>
        </w:tc>
      </w:tr>
      <w:tr w14:paraId="7ADB0354">
        <w:trPr>
          <w:trHeight w:val="2386" w:hRule="atLeast"/>
        </w:trPr>
        <w:tc>
          <w:tcPr>
            <w:tcW w:w="1940" w:type="dxa"/>
            <w:shd w:val="clear" w:color="auto" w:fill="D9D9D9"/>
            <w:vAlign w:val="center"/>
          </w:tcPr>
          <w:p w14:paraId="78B12679">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交易概况（限200字内）</w:t>
            </w:r>
          </w:p>
        </w:tc>
        <w:tc>
          <w:tcPr>
            <w:tcW w:w="7700" w:type="dxa"/>
            <w:gridSpan w:val="2"/>
            <w:vAlign w:val="center"/>
          </w:tcPr>
          <w:p w14:paraId="3F1DF208">
            <w:pPr>
              <w:adjustRightInd w:val="0"/>
              <w:snapToGrid w:val="0"/>
              <w:rPr>
                <w:rFonts w:ascii="宋体" w:hAnsi="宋体" w:cs="宋体"/>
                <w:bCs/>
                <w:color w:val="000000"/>
                <w:kern w:val="0"/>
                <w:sz w:val="24"/>
                <w:lang w:val="en-GB" w:bidi="ar-AE"/>
              </w:rPr>
            </w:pPr>
            <w:r>
              <w:rPr>
                <w:rFonts w:hint="eastAsia" w:ascii="宋体" w:hAnsi="宋体" w:cs="宋体"/>
                <w:bCs/>
                <w:color w:val="000000"/>
                <w:kern w:val="0"/>
                <w:sz w:val="24"/>
                <w:lang w:bidi="ar-AE"/>
              </w:rPr>
              <w:t>江西国控汽车投资有限公司（“江西国控”）分别与重庆长安汽车股份有限公司（“长安汽车”）、江铃汽车集团有限公司（“江铃集团”）签署协议，江西国控向长安汽车转让江铃控股有限公司（“江铃控股”）25%的股权，向江铃集团无偿划转江铃控股25%的股权。交易前，江西国控</w:t>
            </w:r>
            <w:r>
              <w:rPr>
                <w:rFonts w:hint="eastAsia" w:ascii="宋体" w:hAnsi="宋体" w:cs="宋体"/>
                <w:bCs/>
                <w:color w:val="000000"/>
                <w:kern w:val="0"/>
                <w:sz w:val="24"/>
                <w:lang w:eastAsia="zh-CN" w:bidi="ar-AE"/>
              </w:rPr>
              <w:t>、</w:t>
            </w:r>
            <w:r>
              <w:rPr>
                <w:rFonts w:hint="eastAsia" w:ascii="宋体" w:hAnsi="宋体" w:cs="宋体"/>
                <w:bCs/>
                <w:color w:val="000000"/>
                <w:kern w:val="0"/>
                <w:sz w:val="24"/>
                <w:lang w:val="en-US" w:eastAsia="zh-CN" w:bidi="ar-AE"/>
              </w:rPr>
              <w:t>长安汽车、江铃集团分别</w:t>
            </w:r>
            <w:r>
              <w:rPr>
                <w:rFonts w:hint="eastAsia" w:ascii="宋体" w:hAnsi="宋体" w:cs="宋体"/>
                <w:bCs/>
                <w:color w:val="000000"/>
                <w:kern w:val="0"/>
                <w:sz w:val="24"/>
                <w:lang w:bidi="ar-AE"/>
              </w:rPr>
              <w:t>持有</w:t>
            </w:r>
            <w:r>
              <w:rPr>
                <w:rFonts w:hint="eastAsia" w:ascii="宋体" w:hAnsi="宋体" w:cs="宋体"/>
                <w:bCs/>
                <w:color w:val="000000"/>
                <w:kern w:val="0"/>
                <w:sz w:val="24"/>
                <w:lang w:val="en-US" w:eastAsia="zh-CN" w:bidi="ar-AE"/>
              </w:rPr>
              <w:t>江铃控股</w:t>
            </w:r>
            <w:r>
              <w:rPr>
                <w:rFonts w:hint="eastAsia" w:ascii="宋体" w:hAnsi="宋体" w:cs="宋体"/>
                <w:bCs/>
                <w:color w:val="000000"/>
                <w:kern w:val="0"/>
                <w:sz w:val="24"/>
                <w:lang w:bidi="ar-AE"/>
              </w:rPr>
              <w:t>50%</w:t>
            </w:r>
            <w:r>
              <w:rPr>
                <w:rFonts w:hint="eastAsia" w:ascii="宋体" w:hAnsi="宋体" w:cs="宋体"/>
                <w:bCs/>
                <w:color w:val="000000"/>
                <w:kern w:val="0"/>
                <w:sz w:val="24"/>
                <w:lang w:eastAsia="zh-CN" w:bidi="ar-AE"/>
              </w:rPr>
              <w:t>、</w:t>
            </w:r>
            <w:r>
              <w:rPr>
                <w:rFonts w:hint="eastAsia" w:ascii="宋体" w:hAnsi="宋体" w:cs="宋体"/>
                <w:bCs/>
                <w:color w:val="000000"/>
                <w:kern w:val="0"/>
                <w:sz w:val="24"/>
                <w:lang w:val="en-US" w:eastAsia="zh-CN" w:bidi="ar-AE"/>
              </w:rPr>
              <w:t>25%、25%</w:t>
            </w:r>
            <w:r>
              <w:rPr>
                <w:rFonts w:hint="eastAsia" w:ascii="宋体" w:hAnsi="宋体" w:cs="宋体"/>
                <w:bCs/>
                <w:color w:val="000000"/>
                <w:kern w:val="0"/>
                <w:sz w:val="24"/>
                <w:lang w:bidi="ar-AE"/>
              </w:rPr>
              <w:t>的股权，三方共同控制江铃控股。交易后，长安汽车和江铃集团</w:t>
            </w:r>
            <w:r>
              <w:rPr>
                <w:rFonts w:hint="eastAsia" w:ascii="宋体" w:hAnsi="宋体" w:cs="宋体"/>
                <w:bCs/>
                <w:color w:val="000000"/>
                <w:kern w:val="0"/>
                <w:sz w:val="24"/>
                <w:lang w:val="en-US" w:eastAsia="zh-CN" w:bidi="ar-AE"/>
              </w:rPr>
              <w:t>分别</w:t>
            </w:r>
            <w:r>
              <w:rPr>
                <w:rFonts w:hint="eastAsia" w:ascii="宋体" w:hAnsi="宋体" w:cs="宋体"/>
                <w:bCs/>
                <w:color w:val="000000"/>
                <w:kern w:val="0"/>
                <w:sz w:val="24"/>
                <w:lang w:bidi="ar-AE"/>
              </w:rPr>
              <w:t>持有江铃控股50%的股权，双方共同控制江铃控股。</w:t>
            </w:r>
          </w:p>
        </w:tc>
      </w:tr>
      <w:tr w14:paraId="1F34901D">
        <w:trPr>
          <w:trHeight w:val="1497" w:hRule="atLeast"/>
        </w:trPr>
        <w:tc>
          <w:tcPr>
            <w:tcW w:w="1940" w:type="dxa"/>
            <w:vMerge w:val="restart"/>
            <w:shd w:val="clear" w:color="auto" w:fill="D9D9D9"/>
            <w:vAlign w:val="center"/>
          </w:tcPr>
          <w:p w14:paraId="3F1BB955">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参与集中的经营者简介（每个限</w:t>
            </w:r>
            <w:r>
              <w:rPr>
                <w:rFonts w:ascii="宋体" w:hAnsi="宋体" w:cs="宋体"/>
                <w:bCs/>
                <w:color w:val="000000"/>
                <w:lang w:val="en-US" w:eastAsia="zh-CN"/>
              </w:rPr>
              <w:t>100</w:t>
            </w:r>
            <w:r>
              <w:rPr>
                <w:rFonts w:hint="eastAsia" w:ascii="宋体" w:hAnsi="宋体" w:cs="宋体"/>
                <w:bCs/>
                <w:color w:val="000000"/>
                <w:lang w:val="en-US" w:eastAsia="zh-CN"/>
              </w:rPr>
              <w:t>字以内</w:t>
            </w:r>
            <w:r>
              <w:rPr>
                <w:rFonts w:hint="eastAsia" w:ascii="宋体" w:hAnsi="宋体" w:cs="宋体"/>
                <w:bCs/>
                <w:color w:val="000000"/>
                <w:lang w:eastAsia="zh-CN"/>
              </w:rPr>
              <w:t>）</w:t>
            </w:r>
          </w:p>
        </w:tc>
        <w:tc>
          <w:tcPr>
            <w:tcW w:w="1434" w:type="dxa"/>
            <w:vAlign w:val="center"/>
          </w:tcPr>
          <w:p w14:paraId="25A1C979">
            <w:pPr>
              <w:pStyle w:val="7"/>
              <w:adjustRightInd w:val="0"/>
              <w:snapToGrid w:val="0"/>
              <w:spacing w:after="0"/>
              <w:rPr>
                <w:rFonts w:hint="default" w:ascii="宋体" w:hAnsi="宋体" w:cs="宋体"/>
                <w:bCs/>
                <w:color w:val="000000"/>
                <w:lang w:val="en-US" w:eastAsia="zh-CN"/>
              </w:rPr>
            </w:pPr>
            <w:r>
              <w:rPr>
                <w:rFonts w:hint="eastAsia" w:ascii="宋体" w:hAnsi="宋体" w:cs="宋体"/>
                <w:bCs/>
                <w:color w:val="000000"/>
                <w:lang w:val="en-US" w:eastAsia="zh-CN"/>
              </w:rPr>
              <w:t>1.长安汽车</w:t>
            </w:r>
          </w:p>
        </w:tc>
        <w:tc>
          <w:tcPr>
            <w:tcW w:w="6266" w:type="dxa"/>
            <w:vAlign w:val="center"/>
          </w:tcPr>
          <w:p w14:paraId="4ABAE765">
            <w:pPr>
              <w:widowControl/>
              <w:adjustRightInd w:val="0"/>
              <w:snapToGrid w:val="0"/>
              <w:rPr>
                <w:rFonts w:ascii="宋体" w:hAnsi="宋体" w:cs="宋体"/>
                <w:bCs/>
                <w:color w:val="000000"/>
                <w:kern w:val="0"/>
                <w:sz w:val="24"/>
                <w:lang w:val="en-GB" w:bidi="ar-AE"/>
              </w:rPr>
            </w:pPr>
            <w:r>
              <w:rPr>
                <w:rFonts w:hint="eastAsia" w:ascii="宋体" w:hAnsi="宋体" w:cs="宋体"/>
                <w:bCs/>
                <w:color w:val="000000"/>
                <w:kern w:val="0"/>
                <w:sz w:val="24"/>
                <w:lang w:val="en-US" w:eastAsia="zh-CN" w:bidi="ar-AE"/>
              </w:rPr>
              <w:t>长安汽车</w:t>
            </w:r>
            <w:r>
              <w:rPr>
                <w:rFonts w:hint="eastAsia" w:ascii="宋体" w:hAnsi="宋体" w:cs="宋体"/>
                <w:bCs/>
                <w:color w:val="000000"/>
                <w:kern w:val="0"/>
                <w:sz w:val="24"/>
                <w:lang w:val="en-GB" w:bidi="ar-AE"/>
              </w:rPr>
              <w:t>于</w:t>
            </w:r>
            <w:r>
              <w:rPr>
                <w:rFonts w:hint="eastAsia" w:ascii="宋体" w:hAnsi="宋体" w:cs="宋体"/>
                <w:bCs/>
                <w:color w:val="000000"/>
                <w:kern w:val="0"/>
                <w:sz w:val="24"/>
                <w:lang w:bidi="ar-AE"/>
              </w:rPr>
              <w:t>1996</w:t>
            </w:r>
            <w:r>
              <w:rPr>
                <w:rFonts w:hint="eastAsia" w:ascii="宋体" w:hAnsi="宋体" w:cs="宋体"/>
                <w:bCs/>
                <w:color w:val="000000"/>
                <w:kern w:val="0"/>
                <w:sz w:val="24"/>
                <w:lang w:val="en-GB" w:bidi="ar-AE"/>
              </w:rPr>
              <w:t>年</w:t>
            </w:r>
            <w:r>
              <w:rPr>
                <w:rFonts w:hint="eastAsia" w:ascii="宋体" w:hAnsi="宋体" w:cs="宋体"/>
                <w:bCs/>
                <w:color w:val="000000"/>
                <w:kern w:val="0"/>
                <w:sz w:val="24"/>
                <w:lang w:bidi="ar-AE"/>
              </w:rPr>
              <w:t>10</w:t>
            </w:r>
            <w:r>
              <w:rPr>
                <w:rFonts w:hint="eastAsia" w:ascii="宋体" w:hAnsi="宋体" w:cs="宋体"/>
                <w:bCs/>
                <w:color w:val="000000"/>
                <w:kern w:val="0"/>
                <w:sz w:val="24"/>
                <w:lang w:val="en-GB" w:bidi="ar-AE"/>
              </w:rPr>
              <w:t>月</w:t>
            </w:r>
            <w:r>
              <w:rPr>
                <w:rFonts w:hint="eastAsia" w:ascii="宋体" w:hAnsi="宋体" w:cs="宋体"/>
                <w:bCs/>
                <w:color w:val="000000"/>
                <w:kern w:val="0"/>
                <w:sz w:val="24"/>
                <w:lang w:bidi="ar-AE"/>
              </w:rPr>
              <w:t>31</w:t>
            </w:r>
            <w:r>
              <w:rPr>
                <w:rFonts w:hint="eastAsia" w:ascii="宋体" w:hAnsi="宋体" w:cs="宋体"/>
                <w:bCs/>
                <w:color w:val="000000"/>
                <w:kern w:val="0"/>
                <w:sz w:val="24"/>
                <w:lang w:val="en-GB" w:bidi="ar-AE"/>
              </w:rPr>
              <w:t>日成立于</w:t>
            </w:r>
            <w:r>
              <w:rPr>
                <w:rFonts w:hint="eastAsia" w:ascii="宋体" w:hAnsi="宋体" w:cs="宋体"/>
                <w:bCs/>
                <w:color w:val="000000"/>
                <w:kern w:val="0"/>
                <w:sz w:val="24"/>
                <w:lang w:bidi="ar-AE"/>
              </w:rPr>
              <w:t>重庆市江北区</w:t>
            </w:r>
            <w:r>
              <w:rPr>
                <w:rFonts w:hint="eastAsia" w:ascii="宋体" w:hAnsi="宋体" w:cs="宋体"/>
                <w:bCs/>
                <w:color w:val="000000"/>
                <w:kern w:val="0"/>
                <w:sz w:val="24"/>
                <w:lang w:val="en-GB" w:bidi="ar-AE"/>
              </w:rPr>
              <w:t>，为</w:t>
            </w:r>
            <w:r>
              <w:rPr>
                <w:rFonts w:hint="eastAsia" w:ascii="宋体" w:hAnsi="宋体" w:cs="宋体"/>
                <w:bCs/>
                <w:color w:val="000000"/>
                <w:kern w:val="0"/>
                <w:sz w:val="24"/>
                <w:lang w:bidi="ar-AE"/>
              </w:rPr>
              <w:t>深圳交易所上市公司，</w:t>
            </w:r>
            <w:r>
              <w:rPr>
                <w:rFonts w:hint="eastAsia" w:ascii="宋体" w:hAnsi="宋体" w:cs="宋体"/>
                <w:bCs/>
                <w:color w:val="000000"/>
                <w:kern w:val="0"/>
                <w:sz w:val="24"/>
                <w:lang w:val="en-GB" w:bidi="ar-AE"/>
              </w:rPr>
              <w:t>主要业务为</w:t>
            </w:r>
            <w:r>
              <w:rPr>
                <w:rFonts w:hint="eastAsia" w:ascii="宋体" w:hAnsi="宋体" w:cs="宋体"/>
                <w:bCs/>
                <w:color w:val="000000"/>
                <w:kern w:val="0"/>
                <w:sz w:val="24"/>
                <w:lang w:bidi="ar-AE"/>
              </w:rPr>
              <w:t>汽车</w:t>
            </w:r>
            <w:r>
              <w:rPr>
                <w:rFonts w:hint="eastAsia" w:ascii="宋体" w:hAnsi="宋体" w:cs="宋体"/>
                <w:bCs/>
                <w:color w:val="000000"/>
                <w:kern w:val="0"/>
                <w:sz w:val="24"/>
                <w:lang w:val="en-GB" w:bidi="ar-AE"/>
              </w:rPr>
              <w:t>整车制造等。</w:t>
            </w:r>
          </w:p>
          <w:p w14:paraId="7F4BEF9F">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长安汽车最终控制人为中国长安汽车集团有限公司，主要业务为汽车整车销售等。</w:t>
            </w:r>
          </w:p>
        </w:tc>
      </w:tr>
      <w:tr w14:paraId="6E3A1741">
        <w:trPr>
          <w:trHeight w:val="1555" w:hRule="atLeast"/>
        </w:trPr>
        <w:tc>
          <w:tcPr>
            <w:tcW w:w="1940" w:type="dxa"/>
            <w:vMerge w:val="continue"/>
            <w:shd w:val="clear" w:color="auto" w:fill="D9D9D9"/>
            <w:vAlign w:val="center"/>
          </w:tcPr>
          <w:p w14:paraId="3E896AD9">
            <w:pPr>
              <w:pStyle w:val="7"/>
              <w:adjustRightInd w:val="0"/>
              <w:snapToGrid w:val="0"/>
              <w:spacing w:after="0"/>
              <w:rPr>
                <w:rFonts w:ascii="宋体" w:hAnsi="宋体" w:cs="宋体"/>
                <w:bCs/>
                <w:color w:val="000000"/>
                <w:lang w:val="en-US" w:eastAsia="zh-CN"/>
              </w:rPr>
            </w:pPr>
          </w:p>
        </w:tc>
        <w:tc>
          <w:tcPr>
            <w:tcW w:w="1434" w:type="dxa"/>
            <w:vAlign w:val="center"/>
          </w:tcPr>
          <w:p w14:paraId="38D4D728">
            <w:pPr>
              <w:pStyle w:val="7"/>
              <w:adjustRightInd w:val="0"/>
              <w:snapToGrid w:val="0"/>
              <w:spacing w:after="0"/>
              <w:rPr>
                <w:rFonts w:ascii="宋体" w:hAnsi="宋体" w:cs="宋体"/>
                <w:bCs/>
                <w:color w:val="000000"/>
                <w:lang w:eastAsia="zh-CN"/>
              </w:rPr>
            </w:pPr>
            <w:r>
              <w:rPr>
                <w:rFonts w:hint="eastAsia" w:ascii="宋体" w:hAnsi="宋体" w:cs="宋体"/>
                <w:bCs/>
                <w:color w:val="000000"/>
                <w:lang w:val="en-US" w:eastAsia="zh-CN"/>
              </w:rPr>
              <w:t>2.江铃集团</w:t>
            </w:r>
          </w:p>
          <w:p w14:paraId="584EE894">
            <w:pPr>
              <w:pStyle w:val="7"/>
              <w:adjustRightInd w:val="0"/>
              <w:snapToGrid w:val="0"/>
              <w:spacing w:after="0"/>
              <w:rPr>
                <w:rFonts w:ascii="宋体" w:hAnsi="宋体" w:cs="宋体"/>
                <w:bCs/>
                <w:color w:val="000000"/>
                <w:lang w:eastAsia="zh-CN"/>
              </w:rPr>
            </w:pPr>
          </w:p>
        </w:tc>
        <w:tc>
          <w:tcPr>
            <w:tcW w:w="6266" w:type="dxa"/>
            <w:vAlign w:val="center"/>
          </w:tcPr>
          <w:p w14:paraId="663D67CE">
            <w:pPr>
              <w:widowControl/>
              <w:adjustRightInd w:val="0"/>
              <w:snapToGrid w:val="0"/>
              <w:rPr>
                <w:rFonts w:ascii="宋体" w:hAnsi="宋体" w:cs="宋体"/>
                <w:bCs/>
                <w:color w:val="000000"/>
                <w:kern w:val="0"/>
                <w:sz w:val="24"/>
                <w:lang w:val="en-GB" w:bidi="ar-AE"/>
              </w:rPr>
            </w:pPr>
            <w:r>
              <w:rPr>
                <w:rFonts w:hint="eastAsia" w:ascii="宋体" w:hAnsi="宋体" w:cs="宋体"/>
                <w:bCs/>
                <w:color w:val="000000"/>
                <w:kern w:val="0"/>
                <w:sz w:val="24"/>
                <w:lang w:val="en-US" w:eastAsia="zh-CN" w:bidi="ar-AE"/>
              </w:rPr>
              <w:t>江铃集团</w:t>
            </w:r>
            <w:r>
              <w:rPr>
                <w:rFonts w:hint="eastAsia" w:ascii="宋体" w:hAnsi="宋体" w:cs="宋体"/>
                <w:bCs/>
                <w:color w:val="000000"/>
                <w:kern w:val="0"/>
                <w:sz w:val="24"/>
                <w:lang w:val="en-GB" w:bidi="ar-AE"/>
              </w:rPr>
              <w:t>于</w:t>
            </w:r>
            <w:r>
              <w:rPr>
                <w:rFonts w:hint="eastAsia" w:ascii="宋体" w:hAnsi="宋体" w:cs="宋体"/>
                <w:bCs/>
                <w:color w:val="000000"/>
                <w:kern w:val="0"/>
                <w:sz w:val="24"/>
                <w:lang w:bidi="ar-AE"/>
              </w:rPr>
              <w:t>1988</w:t>
            </w:r>
            <w:r>
              <w:rPr>
                <w:rFonts w:hint="eastAsia" w:ascii="宋体" w:hAnsi="宋体" w:cs="宋体"/>
                <w:bCs/>
                <w:color w:val="000000"/>
                <w:kern w:val="0"/>
                <w:sz w:val="24"/>
                <w:lang w:val="en-GB" w:bidi="ar-AE"/>
              </w:rPr>
              <w:t>年</w:t>
            </w:r>
            <w:r>
              <w:rPr>
                <w:rFonts w:hint="eastAsia" w:ascii="宋体" w:hAnsi="宋体" w:cs="宋体"/>
                <w:bCs/>
                <w:color w:val="000000"/>
                <w:kern w:val="0"/>
                <w:sz w:val="24"/>
                <w:lang w:bidi="ar-AE"/>
              </w:rPr>
              <w:t>8</w:t>
            </w:r>
            <w:r>
              <w:rPr>
                <w:rFonts w:hint="eastAsia" w:ascii="宋体" w:hAnsi="宋体" w:cs="宋体"/>
                <w:bCs/>
                <w:color w:val="000000"/>
                <w:kern w:val="0"/>
                <w:sz w:val="24"/>
                <w:lang w:val="en-GB" w:bidi="ar-AE"/>
              </w:rPr>
              <w:t>月</w:t>
            </w:r>
            <w:r>
              <w:rPr>
                <w:rFonts w:hint="eastAsia" w:ascii="宋体" w:hAnsi="宋体" w:cs="宋体"/>
                <w:bCs/>
                <w:color w:val="000000"/>
                <w:kern w:val="0"/>
                <w:sz w:val="24"/>
                <w:lang w:bidi="ar-AE"/>
              </w:rPr>
              <w:t>3</w:t>
            </w:r>
            <w:r>
              <w:rPr>
                <w:rFonts w:hint="eastAsia" w:ascii="宋体" w:hAnsi="宋体" w:cs="宋体"/>
                <w:bCs/>
                <w:color w:val="000000"/>
                <w:kern w:val="0"/>
                <w:sz w:val="24"/>
                <w:lang w:val="en-GB" w:bidi="ar-AE"/>
              </w:rPr>
              <w:t>日成立于</w:t>
            </w:r>
            <w:r>
              <w:rPr>
                <w:rFonts w:hint="eastAsia" w:ascii="宋体" w:hAnsi="宋体" w:cs="宋体"/>
                <w:bCs/>
                <w:color w:val="000000"/>
                <w:kern w:val="0"/>
                <w:sz w:val="24"/>
                <w:lang w:bidi="ar-AE"/>
              </w:rPr>
              <w:t>江西省南昌市</w:t>
            </w:r>
            <w:r>
              <w:rPr>
                <w:rFonts w:hint="eastAsia" w:ascii="宋体" w:hAnsi="宋体" w:cs="宋体"/>
                <w:bCs/>
                <w:color w:val="000000"/>
                <w:kern w:val="0"/>
                <w:sz w:val="24"/>
                <w:lang w:val="en-GB" w:bidi="ar-AE"/>
              </w:rPr>
              <w:t>，主要业务为</w:t>
            </w:r>
            <w:r>
              <w:rPr>
                <w:rFonts w:hint="eastAsia" w:ascii="宋体" w:hAnsi="宋体" w:cs="宋体"/>
                <w:bCs/>
                <w:color w:val="000000"/>
                <w:kern w:val="0"/>
                <w:sz w:val="24"/>
                <w:lang w:bidi="ar-AE"/>
              </w:rPr>
              <w:t>汽车</w:t>
            </w:r>
            <w:r>
              <w:rPr>
                <w:rFonts w:hint="eastAsia" w:ascii="宋体" w:hAnsi="宋体" w:cs="宋体"/>
                <w:bCs/>
                <w:color w:val="000000"/>
                <w:kern w:val="0"/>
                <w:sz w:val="24"/>
                <w:lang w:val="en-GB" w:bidi="ar-AE"/>
              </w:rPr>
              <w:t>整车制造等。</w:t>
            </w:r>
          </w:p>
          <w:p w14:paraId="5CC43535">
            <w:pPr>
              <w:widowControl/>
              <w:adjustRightInd w:val="0"/>
              <w:snapToGrid w:val="0"/>
              <w:rPr>
                <w:rFonts w:ascii="宋体" w:hAnsi="宋体" w:cs="宋体"/>
                <w:bCs/>
                <w:color w:val="000000"/>
                <w:kern w:val="0"/>
                <w:sz w:val="24"/>
                <w:lang w:val="en-GB" w:bidi="ar-AE"/>
              </w:rPr>
            </w:pPr>
            <w:r>
              <w:rPr>
                <w:rFonts w:hint="eastAsia" w:ascii="宋体" w:hAnsi="宋体" w:cs="宋体"/>
                <w:bCs/>
                <w:color w:val="000000"/>
                <w:kern w:val="0"/>
                <w:sz w:val="24"/>
                <w:lang w:val="en-US" w:eastAsia="zh-CN" w:bidi="ar-AE"/>
              </w:rPr>
              <w:t>江铃集团</w:t>
            </w:r>
            <w:r>
              <w:rPr>
                <w:rFonts w:hint="eastAsia" w:ascii="宋体" w:hAnsi="宋体" w:cs="宋体"/>
                <w:bCs/>
                <w:color w:val="000000"/>
                <w:kern w:val="0"/>
                <w:sz w:val="24"/>
                <w:lang w:val="en-GB" w:bidi="ar-AE"/>
              </w:rPr>
              <w:t>最终控制人</w:t>
            </w:r>
            <w:r>
              <w:rPr>
                <w:rFonts w:hint="eastAsia" w:ascii="宋体" w:hAnsi="宋体" w:cs="宋体"/>
                <w:bCs/>
                <w:color w:val="000000"/>
                <w:kern w:val="0"/>
                <w:sz w:val="24"/>
                <w:highlight w:val="none"/>
                <w:lang w:val="en-GB" w:bidi="ar-AE"/>
              </w:rPr>
              <w:t>为</w:t>
            </w:r>
            <w:r>
              <w:rPr>
                <w:rFonts w:hint="eastAsia" w:ascii="宋体" w:hAnsi="宋体" w:cs="宋体"/>
                <w:bCs/>
                <w:color w:val="000000"/>
                <w:kern w:val="0"/>
                <w:sz w:val="24"/>
                <w:highlight w:val="none"/>
                <w:lang w:bidi="ar-AE"/>
              </w:rPr>
              <w:t>南昌市交通投资集团有限公司，主要业务为水利建设和城市基础设施建设等</w:t>
            </w:r>
            <w:r>
              <w:rPr>
                <w:rFonts w:hint="eastAsia" w:ascii="宋体" w:hAnsi="宋体" w:cs="宋体"/>
                <w:bCs/>
                <w:color w:val="000000"/>
                <w:kern w:val="0"/>
                <w:sz w:val="24"/>
                <w:highlight w:val="none"/>
                <w:lang w:val="en-GB" w:bidi="ar-AE"/>
              </w:rPr>
              <w:t>。</w:t>
            </w:r>
          </w:p>
        </w:tc>
      </w:tr>
      <w:tr w14:paraId="011C087D">
        <w:trPr>
          <w:trHeight w:val="1868" w:hRule="atLeast"/>
        </w:trPr>
        <w:tc>
          <w:tcPr>
            <w:tcW w:w="1940" w:type="dxa"/>
            <w:vMerge w:val="continue"/>
            <w:shd w:val="clear" w:color="auto" w:fill="D9D9D9"/>
            <w:vAlign w:val="center"/>
          </w:tcPr>
          <w:p w14:paraId="459B131F">
            <w:pPr>
              <w:pStyle w:val="7"/>
              <w:adjustRightInd w:val="0"/>
              <w:snapToGrid w:val="0"/>
              <w:spacing w:after="0"/>
              <w:rPr>
                <w:rFonts w:ascii="宋体" w:hAnsi="宋体" w:cs="宋体"/>
                <w:bCs/>
                <w:color w:val="000000"/>
                <w:lang w:val="en-US" w:eastAsia="zh-CN"/>
              </w:rPr>
            </w:pPr>
          </w:p>
        </w:tc>
        <w:tc>
          <w:tcPr>
            <w:tcW w:w="1434" w:type="dxa"/>
            <w:vAlign w:val="center"/>
          </w:tcPr>
          <w:p w14:paraId="69396580">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3.江铃控股</w:t>
            </w:r>
          </w:p>
        </w:tc>
        <w:tc>
          <w:tcPr>
            <w:tcW w:w="6266" w:type="dxa"/>
            <w:vAlign w:val="center"/>
          </w:tcPr>
          <w:p w14:paraId="59F7C627">
            <w:pPr>
              <w:widowControl/>
              <w:adjustRightInd w:val="0"/>
              <w:snapToGrid w:val="0"/>
              <w:rPr>
                <w:rFonts w:ascii="宋体" w:hAnsi="宋体" w:cs="宋体"/>
                <w:bCs/>
                <w:color w:val="000000"/>
                <w:kern w:val="0"/>
                <w:sz w:val="24"/>
                <w:lang w:bidi="ar-AE"/>
              </w:rPr>
            </w:pPr>
            <w:r>
              <w:rPr>
                <w:rFonts w:hint="eastAsia" w:ascii="宋体" w:hAnsi="宋体" w:cs="宋体"/>
                <w:bCs/>
                <w:color w:val="000000"/>
                <w:kern w:val="0"/>
                <w:sz w:val="24"/>
                <w:lang w:bidi="ar-AE"/>
              </w:rPr>
              <w:t>江铃控股</w:t>
            </w:r>
            <w:r>
              <w:rPr>
                <w:rFonts w:hint="eastAsia" w:ascii="宋体" w:hAnsi="宋体" w:cs="宋体"/>
                <w:bCs/>
                <w:color w:val="000000"/>
                <w:kern w:val="0"/>
                <w:sz w:val="24"/>
                <w:lang w:val="en-GB" w:bidi="ar-AE"/>
              </w:rPr>
              <w:t>于</w:t>
            </w:r>
            <w:r>
              <w:rPr>
                <w:rFonts w:hint="eastAsia" w:ascii="宋体" w:hAnsi="宋体" w:cs="宋体"/>
                <w:bCs/>
                <w:color w:val="000000"/>
                <w:kern w:val="0"/>
                <w:sz w:val="24"/>
                <w:lang w:bidi="ar-AE"/>
              </w:rPr>
              <w:t>2004</w:t>
            </w:r>
            <w:r>
              <w:rPr>
                <w:rFonts w:hint="eastAsia" w:ascii="宋体" w:hAnsi="宋体" w:cs="宋体"/>
                <w:bCs/>
                <w:color w:val="000000"/>
                <w:kern w:val="0"/>
                <w:sz w:val="24"/>
                <w:lang w:val="en-GB" w:bidi="ar-AE"/>
              </w:rPr>
              <w:t>年</w:t>
            </w:r>
            <w:r>
              <w:rPr>
                <w:rFonts w:hint="eastAsia" w:ascii="宋体" w:hAnsi="宋体" w:cs="宋体"/>
                <w:bCs/>
                <w:color w:val="000000"/>
                <w:kern w:val="0"/>
                <w:sz w:val="24"/>
                <w:lang w:bidi="ar-AE"/>
              </w:rPr>
              <w:t>11</w:t>
            </w:r>
            <w:r>
              <w:rPr>
                <w:rFonts w:hint="eastAsia" w:ascii="宋体" w:hAnsi="宋体" w:cs="宋体"/>
                <w:bCs/>
                <w:color w:val="000000"/>
                <w:kern w:val="0"/>
                <w:sz w:val="24"/>
                <w:lang w:val="en-GB" w:bidi="ar-AE"/>
              </w:rPr>
              <w:t>月</w:t>
            </w:r>
            <w:r>
              <w:rPr>
                <w:rFonts w:hint="eastAsia" w:ascii="宋体" w:hAnsi="宋体" w:cs="宋体"/>
                <w:bCs/>
                <w:color w:val="000000"/>
                <w:kern w:val="0"/>
                <w:sz w:val="24"/>
                <w:lang w:bidi="ar-AE"/>
              </w:rPr>
              <w:t>1</w:t>
            </w:r>
            <w:r>
              <w:rPr>
                <w:rFonts w:hint="eastAsia" w:ascii="宋体" w:hAnsi="宋体" w:cs="宋体"/>
                <w:bCs/>
                <w:color w:val="000000"/>
                <w:kern w:val="0"/>
                <w:sz w:val="24"/>
                <w:lang w:val="en-GB" w:bidi="ar-AE"/>
              </w:rPr>
              <w:t>日成立于</w:t>
            </w:r>
            <w:r>
              <w:rPr>
                <w:rFonts w:hint="eastAsia" w:ascii="宋体" w:hAnsi="宋体" w:cs="宋体"/>
                <w:bCs/>
                <w:color w:val="000000"/>
                <w:kern w:val="0"/>
                <w:sz w:val="24"/>
                <w:lang w:bidi="ar-AE"/>
              </w:rPr>
              <w:t>江西省南昌市</w:t>
            </w:r>
            <w:r>
              <w:rPr>
                <w:rFonts w:hint="eastAsia" w:ascii="宋体" w:hAnsi="宋体" w:cs="宋体"/>
                <w:bCs/>
                <w:color w:val="000000"/>
                <w:kern w:val="0"/>
                <w:sz w:val="24"/>
                <w:lang w:val="en-GB" w:bidi="ar-AE"/>
              </w:rPr>
              <w:t>，主要业务为</w:t>
            </w:r>
            <w:r>
              <w:rPr>
                <w:rFonts w:hint="eastAsia" w:ascii="宋体" w:hAnsi="宋体" w:cs="宋体"/>
                <w:bCs/>
                <w:color w:val="000000"/>
                <w:kern w:val="0"/>
                <w:sz w:val="24"/>
                <w:lang w:bidi="ar-AE"/>
              </w:rPr>
              <w:t>乘用车</w:t>
            </w:r>
            <w:r>
              <w:rPr>
                <w:rFonts w:hint="eastAsia" w:ascii="宋体" w:hAnsi="宋体" w:cs="宋体"/>
                <w:bCs/>
                <w:color w:val="000000"/>
                <w:kern w:val="0"/>
                <w:sz w:val="24"/>
                <w:lang w:val="en-GB" w:bidi="ar-AE"/>
              </w:rPr>
              <w:t>整车制造等。</w:t>
            </w:r>
          </w:p>
          <w:p w14:paraId="11799A2A">
            <w:pPr>
              <w:widowControl/>
              <w:adjustRightInd w:val="0"/>
              <w:snapToGrid w:val="0"/>
              <w:rPr>
                <w:rFonts w:ascii="宋体" w:hAnsi="宋体" w:cs="宋体"/>
                <w:bCs/>
                <w:color w:val="000000"/>
                <w:kern w:val="0"/>
                <w:sz w:val="24"/>
                <w:lang w:bidi="ar-AE"/>
              </w:rPr>
            </w:pPr>
            <w:r>
              <w:rPr>
                <w:rFonts w:hint="eastAsia" w:ascii="宋体" w:hAnsi="宋体" w:cs="宋体"/>
                <w:bCs/>
                <w:color w:val="000000"/>
                <w:kern w:val="0"/>
                <w:sz w:val="24"/>
                <w:lang w:bidi="ar-AE"/>
              </w:rPr>
              <w:t>江铃控股</w:t>
            </w:r>
            <w:r>
              <w:rPr>
                <w:rFonts w:hint="eastAsia" w:ascii="宋体" w:hAnsi="宋体" w:cs="宋体"/>
                <w:bCs/>
                <w:color w:val="000000"/>
                <w:kern w:val="0"/>
                <w:sz w:val="24"/>
                <w:lang w:val="en-GB" w:bidi="ar-AE"/>
              </w:rPr>
              <w:t>最终控制人</w:t>
            </w:r>
            <w:r>
              <w:rPr>
                <w:rFonts w:hint="eastAsia" w:ascii="宋体" w:hAnsi="宋体" w:cs="宋体"/>
                <w:bCs/>
                <w:color w:val="000000"/>
                <w:kern w:val="0"/>
                <w:sz w:val="24"/>
                <w:highlight w:val="none"/>
                <w:lang w:val="en-GB" w:bidi="ar-AE"/>
              </w:rPr>
              <w:t>为</w:t>
            </w:r>
            <w:r>
              <w:rPr>
                <w:rFonts w:hint="eastAsia" w:ascii="宋体" w:hAnsi="宋体" w:cs="宋体"/>
                <w:bCs/>
                <w:color w:val="000000"/>
                <w:kern w:val="0"/>
                <w:sz w:val="24"/>
                <w:highlight w:val="none"/>
                <w:lang w:bidi="ar-AE"/>
              </w:rPr>
              <w:t>南昌市交通投资集团有限公司，主要业务为水利建设和城市基础设施项目的建设、管理、经营等</w:t>
            </w:r>
            <w:r>
              <w:rPr>
                <w:rFonts w:hint="eastAsia" w:ascii="宋体" w:hAnsi="宋体" w:cs="宋体"/>
                <w:bCs/>
                <w:color w:val="000000"/>
                <w:kern w:val="0"/>
                <w:sz w:val="24"/>
                <w:highlight w:val="none"/>
                <w:lang w:val="en-GB" w:bidi="ar-AE"/>
              </w:rPr>
              <w:t>。</w:t>
            </w:r>
          </w:p>
        </w:tc>
      </w:tr>
      <w:tr w14:paraId="003F2B0E">
        <w:trPr>
          <w:trHeight w:val="507" w:hRule="atLeast"/>
        </w:trPr>
        <w:tc>
          <w:tcPr>
            <w:tcW w:w="1940" w:type="dxa"/>
            <w:vMerge w:val="restart"/>
            <w:shd w:val="clear" w:color="auto" w:fill="D9D9D9"/>
            <w:vAlign w:val="center"/>
          </w:tcPr>
          <w:p w14:paraId="2B7E64F9">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简易案件理由（可以单选，也可以多选）</w:t>
            </w:r>
          </w:p>
        </w:tc>
        <w:tc>
          <w:tcPr>
            <w:tcW w:w="7700" w:type="dxa"/>
            <w:gridSpan w:val="2"/>
            <w:vAlign w:val="center"/>
          </w:tcPr>
          <w:p w14:paraId="2AF47BD4">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FE"/>
            </w:r>
            <w:r>
              <w:rPr>
                <w:rFonts w:hint="eastAsia" w:ascii="宋体" w:hAnsi="宋体" w:cs="宋体"/>
                <w:bCs/>
                <w:color w:val="000000"/>
                <w:lang w:eastAsia="zh-CN"/>
              </w:rPr>
              <w:t xml:space="preserve"> 1</w:t>
            </w:r>
            <w:r>
              <w:rPr>
                <w:rFonts w:hint="eastAsia" w:ascii="宋体" w:hAnsi="宋体" w:cs="宋体"/>
                <w:bCs/>
                <w:color w:val="000000"/>
                <w:lang w:val="en-US" w:eastAsia="zh-CN"/>
              </w:rPr>
              <w:t>.</w:t>
            </w:r>
            <w:r>
              <w:rPr>
                <w:rFonts w:hint="eastAsia" w:ascii="宋体" w:hAnsi="宋体" w:cs="宋体"/>
                <w:bCs/>
                <w:color w:val="000000"/>
                <w:lang w:eastAsia="zh-CN"/>
              </w:rPr>
              <w:t>在同一相关市场，参与集中的经营者所占的市场份额之和小于15%。</w:t>
            </w:r>
          </w:p>
        </w:tc>
      </w:tr>
      <w:tr w14:paraId="7FC6610E">
        <w:trPr>
          <w:trHeight w:val="432" w:hRule="atLeast"/>
        </w:trPr>
        <w:tc>
          <w:tcPr>
            <w:tcW w:w="1940" w:type="dxa"/>
            <w:vMerge w:val="continue"/>
            <w:shd w:val="clear" w:color="auto" w:fill="D9D9D9"/>
            <w:vAlign w:val="center"/>
          </w:tcPr>
          <w:p w14:paraId="1263684E">
            <w:pPr>
              <w:pStyle w:val="7"/>
              <w:adjustRightInd w:val="0"/>
              <w:snapToGrid w:val="0"/>
              <w:spacing w:after="0"/>
              <w:rPr>
                <w:rFonts w:ascii="宋体" w:hAnsi="宋体" w:cs="宋体"/>
                <w:bCs/>
                <w:color w:val="000000"/>
                <w:lang w:val="en-US" w:eastAsia="zh-CN"/>
              </w:rPr>
            </w:pPr>
          </w:p>
        </w:tc>
        <w:tc>
          <w:tcPr>
            <w:tcW w:w="7700" w:type="dxa"/>
            <w:gridSpan w:val="2"/>
            <w:vAlign w:val="center"/>
          </w:tcPr>
          <w:p w14:paraId="0AA53A9D">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2</w:t>
            </w:r>
            <w:r>
              <w:rPr>
                <w:rFonts w:hint="eastAsia" w:ascii="宋体" w:hAnsi="宋体" w:cs="宋体"/>
                <w:bCs/>
                <w:color w:val="000000"/>
                <w:lang w:val="en-US" w:eastAsia="zh-CN"/>
              </w:rPr>
              <w:t>.</w:t>
            </w:r>
            <w:r>
              <w:rPr>
                <w:rFonts w:hint="eastAsia" w:ascii="宋体" w:hAnsi="宋体" w:cs="宋体"/>
                <w:bCs/>
                <w:color w:val="000000"/>
                <w:lang w:eastAsia="zh-CN"/>
              </w:rPr>
              <w:t>在上下游市场，参与集中的经营者所占的市场份额均小于25%。</w:t>
            </w:r>
          </w:p>
        </w:tc>
      </w:tr>
      <w:tr w14:paraId="1D4C45E1">
        <w:trPr>
          <w:trHeight w:val="814" w:hRule="atLeast"/>
        </w:trPr>
        <w:tc>
          <w:tcPr>
            <w:tcW w:w="1940" w:type="dxa"/>
            <w:vMerge w:val="continue"/>
            <w:shd w:val="clear" w:color="auto" w:fill="D9D9D9"/>
            <w:vAlign w:val="center"/>
          </w:tcPr>
          <w:p w14:paraId="788663CA">
            <w:pPr>
              <w:pStyle w:val="7"/>
              <w:adjustRightInd w:val="0"/>
              <w:snapToGrid w:val="0"/>
              <w:spacing w:after="0"/>
              <w:rPr>
                <w:rFonts w:ascii="宋体" w:hAnsi="宋体" w:cs="宋体"/>
                <w:bCs/>
                <w:color w:val="000000"/>
                <w:lang w:val="en-US" w:eastAsia="zh-CN"/>
              </w:rPr>
            </w:pPr>
          </w:p>
        </w:tc>
        <w:tc>
          <w:tcPr>
            <w:tcW w:w="7700" w:type="dxa"/>
            <w:gridSpan w:val="2"/>
            <w:vAlign w:val="center"/>
          </w:tcPr>
          <w:p w14:paraId="56AF4739">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3</w:t>
            </w:r>
            <w:r>
              <w:rPr>
                <w:rFonts w:hint="eastAsia" w:ascii="宋体" w:hAnsi="宋体" w:cs="宋体"/>
                <w:bCs/>
                <w:color w:val="000000"/>
                <w:lang w:val="en-US" w:eastAsia="zh-CN"/>
              </w:rPr>
              <w:t>.</w:t>
            </w:r>
            <w:r>
              <w:rPr>
                <w:rFonts w:hint="eastAsia" w:ascii="宋体" w:hAnsi="宋体" w:cs="宋体"/>
                <w:bCs/>
                <w:color w:val="000000"/>
                <w:lang w:eastAsia="zh-CN"/>
              </w:rPr>
              <w:t>不在同一相关市场也不存在上下游关系的参与集中的经营者，在与交易有关的每个市场所占的市场份额均小于25%。</w:t>
            </w:r>
          </w:p>
        </w:tc>
      </w:tr>
      <w:tr w14:paraId="0508E5C3">
        <w:trPr>
          <w:trHeight w:val="722" w:hRule="atLeast"/>
        </w:trPr>
        <w:tc>
          <w:tcPr>
            <w:tcW w:w="1940" w:type="dxa"/>
            <w:vMerge w:val="continue"/>
            <w:shd w:val="clear" w:color="auto" w:fill="D9D9D9"/>
            <w:vAlign w:val="center"/>
          </w:tcPr>
          <w:p w14:paraId="122178FF">
            <w:pPr>
              <w:pStyle w:val="7"/>
              <w:adjustRightInd w:val="0"/>
              <w:snapToGrid w:val="0"/>
              <w:spacing w:after="0"/>
              <w:rPr>
                <w:rFonts w:ascii="宋体" w:hAnsi="宋体" w:cs="宋体"/>
                <w:bCs/>
                <w:color w:val="000000"/>
                <w:lang w:val="en-US" w:eastAsia="zh-CN"/>
              </w:rPr>
            </w:pPr>
          </w:p>
        </w:tc>
        <w:tc>
          <w:tcPr>
            <w:tcW w:w="7700" w:type="dxa"/>
            <w:gridSpan w:val="2"/>
            <w:vAlign w:val="center"/>
          </w:tcPr>
          <w:p w14:paraId="292B8137">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4</w:t>
            </w:r>
            <w:r>
              <w:rPr>
                <w:rFonts w:hint="eastAsia" w:ascii="宋体" w:hAnsi="宋体" w:cs="宋体"/>
                <w:bCs/>
                <w:color w:val="000000"/>
                <w:lang w:val="en-US" w:eastAsia="zh-CN"/>
              </w:rPr>
              <w:t>.</w:t>
            </w:r>
            <w:r>
              <w:rPr>
                <w:rFonts w:hint="eastAsia" w:ascii="宋体" w:hAnsi="宋体" w:cs="宋体"/>
                <w:bCs/>
                <w:color w:val="000000"/>
                <w:lang w:eastAsia="zh-CN"/>
              </w:rPr>
              <w:t>参与集中的经营者在中国境外设立合营企业，合营企业不在中国境内从事经济活动。</w:t>
            </w:r>
          </w:p>
        </w:tc>
      </w:tr>
      <w:tr w14:paraId="78C91AF1">
        <w:trPr>
          <w:trHeight w:val="826" w:hRule="atLeast"/>
        </w:trPr>
        <w:tc>
          <w:tcPr>
            <w:tcW w:w="1940" w:type="dxa"/>
            <w:vMerge w:val="continue"/>
            <w:shd w:val="clear" w:color="auto" w:fill="D9D9D9"/>
            <w:vAlign w:val="center"/>
          </w:tcPr>
          <w:p w14:paraId="416327F5">
            <w:pPr>
              <w:pStyle w:val="7"/>
              <w:adjustRightInd w:val="0"/>
              <w:snapToGrid w:val="0"/>
              <w:spacing w:after="0"/>
              <w:rPr>
                <w:rFonts w:ascii="宋体" w:hAnsi="宋体" w:cs="宋体"/>
                <w:bCs/>
                <w:color w:val="000000"/>
                <w:lang w:val="en-US" w:eastAsia="zh-CN"/>
              </w:rPr>
            </w:pPr>
          </w:p>
        </w:tc>
        <w:tc>
          <w:tcPr>
            <w:tcW w:w="7700" w:type="dxa"/>
            <w:gridSpan w:val="2"/>
            <w:vAlign w:val="center"/>
          </w:tcPr>
          <w:p w14:paraId="1400ABBD">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5</w:t>
            </w:r>
            <w:r>
              <w:rPr>
                <w:rFonts w:hint="eastAsia" w:ascii="宋体" w:hAnsi="宋体" w:cs="宋体"/>
                <w:bCs/>
                <w:color w:val="000000"/>
                <w:lang w:val="en-US" w:eastAsia="zh-CN"/>
              </w:rPr>
              <w:t>.</w:t>
            </w:r>
            <w:r>
              <w:rPr>
                <w:rFonts w:hint="eastAsia" w:ascii="宋体" w:hAnsi="宋体" w:cs="宋体"/>
                <w:bCs/>
                <w:color w:val="000000"/>
                <w:lang w:eastAsia="zh-CN"/>
              </w:rPr>
              <w:t>参与集中的经营者收购境外企业股权或资产的，该境外企业不在中国境内从事经济活动。</w:t>
            </w:r>
          </w:p>
        </w:tc>
      </w:tr>
      <w:tr w14:paraId="566CB1B5">
        <w:trPr>
          <w:trHeight w:val="618" w:hRule="atLeast"/>
        </w:trPr>
        <w:tc>
          <w:tcPr>
            <w:tcW w:w="1940" w:type="dxa"/>
            <w:vMerge w:val="continue"/>
            <w:shd w:val="clear" w:color="auto" w:fill="D9D9D9"/>
            <w:vAlign w:val="center"/>
          </w:tcPr>
          <w:p w14:paraId="561B92F9">
            <w:pPr>
              <w:pStyle w:val="7"/>
              <w:adjustRightInd w:val="0"/>
              <w:snapToGrid w:val="0"/>
              <w:spacing w:after="0"/>
              <w:rPr>
                <w:rFonts w:ascii="宋体" w:hAnsi="宋体" w:cs="宋体"/>
                <w:bCs/>
                <w:color w:val="000000"/>
                <w:lang w:val="en-US" w:eastAsia="zh-CN"/>
              </w:rPr>
            </w:pPr>
          </w:p>
        </w:tc>
        <w:tc>
          <w:tcPr>
            <w:tcW w:w="7700" w:type="dxa"/>
            <w:gridSpan w:val="2"/>
            <w:vAlign w:val="center"/>
          </w:tcPr>
          <w:p w14:paraId="7AE24B39">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6</w:t>
            </w:r>
            <w:r>
              <w:rPr>
                <w:rFonts w:hint="eastAsia" w:ascii="宋体" w:hAnsi="宋体" w:cs="宋体"/>
                <w:bCs/>
                <w:color w:val="000000"/>
                <w:lang w:val="en-US" w:eastAsia="zh-CN"/>
              </w:rPr>
              <w:t>.</w:t>
            </w:r>
            <w:r>
              <w:rPr>
                <w:rFonts w:hint="eastAsia" w:ascii="宋体" w:hAnsi="宋体" w:cs="宋体"/>
                <w:bCs/>
                <w:color w:val="000000"/>
                <w:lang w:eastAsia="zh-CN"/>
              </w:rPr>
              <w:t>由两个以上的经营者共同控制的合营企业，通过集中被其中一个或一个以上经营者控制。</w:t>
            </w:r>
          </w:p>
        </w:tc>
      </w:tr>
      <w:tr w14:paraId="33C8DE5B">
        <w:trPr>
          <w:trHeight w:val="90" w:hRule="atLeast"/>
        </w:trPr>
        <w:tc>
          <w:tcPr>
            <w:tcW w:w="1940" w:type="dxa"/>
            <w:shd w:val="clear" w:color="auto" w:fill="D9D9D9"/>
            <w:vAlign w:val="center"/>
          </w:tcPr>
          <w:p w14:paraId="22EA4B17">
            <w:pPr>
              <w:pStyle w:val="7"/>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备注</w:t>
            </w:r>
          </w:p>
        </w:tc>
        <w:tc>
          <w:tcPr>
            <w:tcW w:w="7700" w:type="dxa"/>
            <w:gridSpan w:val="2"/>
            <w:vAlign w:val="center"/>
          </w:tcPr>
          <w:p w14:paraId="114F7F22">
            <w:pPr>
              <w:pStyle w:val="7"/>
              <w:adjustRightInd w:val="0"/>
              <w:snapToGrid w:val="0"/>
              <w:spacing w:after="0"/>
              <w:rPr>
                <w:rFonts w:hint="eastAsia" w:ascii="宋体" w:hAnsi="宋体" w:cs="宋体"/>
                <w:b/>
                <w:color w:val="000000"/>
                <w:lang w:eastAsia="zh-CN"/>
              </w:rPr>
            </w:pPr>
            <w:r>
              <w:rPr>
                <w:rFonts w:hint="eastAsia" w:ascii="宋体" w:hAnsi="宋体" w:cs="宋体"/>
                <w:b/>
                <w:color w:val="000000"/>
                <w:lang w:eastAsia="zh-CN"/>
              </w:rPr>
              <w:t>横向重叠：</w:t>
            </w:r>
          </w:p>
          <w:tbl>
            <w:tblPr>
              <w:tblStyle w:val="11"/>
              <w:tblW w:w="66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4"/>
              <w:gridCol w:w="2090"/>
              <w:gridCol w:w="2590"/>
            </w:tblGrid>
            <w:tr w14:paraId="46071823">
              <w:trPr>
                <w:trHeight w:val="334" w:hRule="atLeast"/>
              </w:trPr>
              <w:tc>
                <w:tcPr>
                  <w:tcW w:w="2004" w:type="dxa"/>
                  <w:tcBorders>
                    <w:top w:val="single" w:color="auto" w:sz="4" w:space="0"/>
                    <w:left w:val="single" w:color="auto" w:sz="4" w:space="0"/>
                    <w:bottom w:val="single" w:color="auto" w:sz="4" w:space="0"/>
                    <w:right w:val="single" w:color="auto" w:sz="4" w:space="0"/>
                  </w:tcBorders>
                  <w:noWrap w:val="0"/>
                  <w:vAlign w:val="top"/>
                </w:tcPr>
                <w:p w14:paraId="0F33C666">
                  <w:pPr>
                    <w:pStyle w:val="15"/>
                    <w:ind w:firstLine="0" w:firstLineChars="0"/>
                    <w:jc w:val="center"/>
                    <w:rPr>
                      <w:szCs w:val="21"/>
                    </w:rPr>
                  </w:pPr>
                  <w:r>
                    <w:rPr>
                      <w:rFonts w:hint="eastAsia"/>
                      <w:szCs w:val="21"/>
                    </w:rPr>
                    <w:t>相关商品市场</w:t>
                  </w:r>
                </w:p>
              </w:tc>
              <w:tc>
                <w:tcPr>
                  <w:tcW w:w="2090" w:type="dxa"/>
                  <w:tcBorders>
                    <w:top w:val="single" w:color="auto" w:sz="4" w:space="0"/>
                    <w:left w:val="single" w:color="auto" w:sz="4" w:space="0"/>
                    <w:bottom w:val="single" w:color="auto" w:sz="4" w:space="0"/>
                    <w:right w:val="single" w:color="auto" w:sz="4" w:space="0"/>
                  </w:tcBorders>
                  <w:noWrap w:val="0"/>
                  <w:vAlign w:val="top"/>
                </w:tcPr>
                <w:p w14:paraId="2CE952EE">
                  <w:pPr>
                    <w:pStyle w:val="15"/>
                    <w:ind w:firstLine="0" w:firstLineChars="0"/>
                    <w:jc w:val="center"/>
                    <w:rPr>
                      <w:szCs w:val="21"/>
                    </w:rPr>
                  </w:pPr>
                  <w:r>
                    <w:rPr>
                      <w:rFonts w:hint="eastAsia"/>
                      <w:szCs w:val="21"/>
                    </w:rPr>
                    <w:t>相关地域市场</w:t>
                  </w:r>
                </w:p>
              </w:tc>
              <w:tc>
                <w:tcPr>
                  <w:tcW w:w="2590" w:type="dxa"/>
                  <w:tcBorders>
                    <w:top w:val="single" w:color="auto" w:sz="4" w:space="0"/>
                    <w:left w:val="single" w:color="auto" w:sz="4" w:space="0"/>
                    <w:bottom w:val="single" w:color="auto" w:sz="4" w:space="0"/>
                    <w:right w:val="single" w:color="auto" w:sz="4" w:space="0"/>
                  </w:tcBorders>
                  <w:noWrap w:val="0"/>
                  <w:vAlign w:val="top"/>
                </w:tcPr>
                <w:p w14:paraId="6D9C0E63">
                  <w:pPr>
                    <w:pStyle w:val="15"/>
                    <w:ind w:firstLine="0" w:firstLineChars="0"/>
                    <w:jc w:val="center"/>
                    <w:rPr>
                      <w:szCs w:val="21"/>
                    </w:rPr>
                  </w:pPr>
                  <w:r>
                    <w:rPr>
                      <w:rFonts w:hint="eastAsia" w:hAnsi="宋体"/>
                      <w:bCs/>
                      <w:szCs w:val="21"/>
                      <w:lang w:val="en-US" w:eastAsia="zh-CN"/>
                    </w:rPr>
                    <w:t>2025</w:t>
                  </w:r>
                  <w:r>
                    <w:rPr>
                      <w:rFonts w:hint="eastAsia"/>
                      <w:szCs w:val="21"/>
                    </w:rPr>
                    <w:t>年市场份额</w:t>
                  </w:r>
                </w:p>
              </w:tc>
            </w:tr>
            <w:tr w14:paraId="2B9828A3">
              <w:tc>
                <w:tcPr>
                  <w:tcW w:w="2004" w:type="dxa"/>
                  <w:tcBorders>
                    <w:top w:val="single" w:color="auto" w:sz="4" w:space="0"/>
                    <w:left w:val="single" w:color="auto" w:sz="4" w:space="0"/>
                    <w:bottom w:val="single" w:color="auto" w:sz="4" w:space="0"/>
                    <w:right w:val="single" w:color="auto" w:sz="4" w:space="0"/>
                  </w:tcBorders>
                  <w:noWrap w:val="0"/>
                  <w:vAlign w:val="top"/>
                </w:tcPr>
                <w:p w14:paraId="00E13737">
                  <w:pPr>
                    <w:pStyle w:val="15"/>
                    <w:ind w:firstLine="0" w:firstLineChars="0"/>
                    <w:rPr>
                      <w:szCs w:val="21"/>
                    </w:rPr>
                  </w:pPr>
                  <w:r>
                    <w:rPr>
                      <w:rFonts w:hint="eastAsia" w:ascii="宋体" w:hAnsi="宋体" w:cs="宋体"/>
                      <w:bCs/>
                      <w:color w:val="000000"/>
                      <w:lang w:val="en-US" w:eastAsia="zh-CN"/>
                    </w:rPr>
                    <w:t>新能源乘用车市场</w:t>
                  </w:r>
                </w:p>
              </w:tc>
              <w:tc>
                <w:tcPr>
                  <w:tcW w:w="2090" w:type="dxa"/>
                  <w:tcBorders>
                    <w:top w:val="single" w:color="auto" w:sz="4" w:space="0"/>
                    <w:left w:val="single" w:color="auto" w:sz="4" w:space="0"/>
                    <w:bottom w:val="single" w:color="auto" w:sz="4" w:space="0"/>
                    <w:right w:val="single" w:color="auto" w:sz="4" w:space="0"/>
                  </w:tcBorders>
                  <w:noWrap w:val="0"/>
                  <w:vAlign w:val="top"/>
                </w:tcPr>
                <w:p w14:paraId="1217F198">
                  <w:pPr>
                    <w:pStyle w:val="15"/>
                    <w:ind w:firstLine="0" w:firstLineChars="0"/>
                    <w:rPr>
                      <w:rFonts w:hint="default" w:eastAsia="宋体"/>
                      <w:szCs w:val="21"/>
                      <w:lang w:val="en-US" w:eastAsia="zh-CN"/>
                    </w:rPr>
                  </w:pPr>
                  <w:r>
                    <w:rPr>
                      <w:rFonts w:hint="eastAsia"/>
                      <w:szCs w:val="21"/>
                      <w:lang w:val="en-US" w:eastAsia="zh-CN"/>
                    </w:rPr>
                    <w:t>中国境内</w:t>
                  </w:r>
                </w:p>
              </w:tc>
              <w:tc>
                <w:tcPr>
                  <w:tcW w:w="2590" w:type="dxa"/>
                  <w:tcBorders>
                    <w:top w:val="single" w:color="auto" w:sz="4" w:space="0"/>
                    <w:left w:val="single" w:color="auto" w:sz="4" w:space="0"/>
                    <w:bottom w:val="single" w:color="auto" w:sz="4" w:space="0"/>
                    <w:right w:val="single" w:color="auto" w:sz="4" w:space="0"/>
                  </w:tcBorders>
                  <w:noWrap w:val="0"/>
                  <w:vAlign w:val="top"/>
                </w:tcPr>
                <w:p w14:paraId="39CDC0CC">
                  <w:pPr>
                    <w:pStyle w:val="15"/>
                    <w:ind w:firstLine="0" w:firstLineChars="0"/>
                    <w:rPr>
                      <w:rFonts w:hint="eastAsia" w:ascii="宋体" w:hAnsi="宋体" w:cs="宋体"/>
                      <w:bCs/>
                      <w:color w:val="000000"/>
                      <w:lang w:val="en-US" w:eastAsia="zh-CN"/>
                    </w:rPr>
                  </w:pPr>
                  <w:r>
                    <w:rPr>
                      <w:rFonts w:hint="eastAsia" w:ascii="宋体" w:hAnsi="宋体" w:cs="宋体"/>
                      <w:bCs/>
                      <w:color w:val="000000"/>
                      <w:lang w:val="en-US" w:eastAsia="zh-CN"/>
                    </w:rPr>
                    <w:t>长安汽车：5%-10%</w:t>
                  </w:r>
                </w:p>
                <w:p w14:paraId="056CDEC6">
                  <w:pPr>
                    <w:pStyle w:val="15"/>
                    <w:ind w:firstLine="0" w:firstLineChars="0"/>
                    <w:rPr>
                      <w:rFonts w:hint="eastAsia" w:ascii="宋体" w:hAnsi="宋体" w:cs="宋体"/>
                      <w:bCs/>
                      <w:color w:val="000000"/>
                      <w:lang w:val="en-US" w:eastAsia="zh-CN"/>
                    </w:rPr>
                  </w:pPr>
                  <w:r>
                    <w:rPr>
                      <w:rFonts w:hint="eastAsia" w:ascii="宋体" w:hAnsi="宋体" w:cs="宋体"/>
                      <w:bCs/>
                      <w:color w:val="000000"/>
                      <w:lang w:val="en-US" w:eastAsia="zh-CN"/>
                    </w:rPr>
                    <w:t>江铃集团: 0-5%</w:t>
                  </w:r>
                </w:p>
                <w:p w14:paraId="7D50FFC2">
                  <w:pPr>
                    <w:pStyle w:val="15"/>
                    <w:ind w:firstLine="0" w:firstLineChars="0"/>
                    <w:rPr>
                      <w:rFonts w:hint="eastAsia" w:ascii="宋体" w:hAnsi="宋体" w:cs="宋体"/>
                      <w:bCs/>
                      <w:color w:val="000000"/>
                      <w:lang w:val="en-US" w:eastAsia="zh-CN"/>
                    </w:rPr>
                  </w:pPr>
                  <w:r>
                    <w:rPr>
                      <w:rFonts w:hint="eastAsia" w:ascii="宋体" w:hAnsi="宋体" w:cs="宋体"/>
                      <w:bCs/>
                      <w:color w:val="000000"/>
                      <w:lang w:val="en-US" w:eastAsia="zh-CN"/>
                    </w:rPr>
                    <w:t>江铃控股：0-5%</w:t>
                  </w:r>
                </w:p>
                <w:p w14:paraId="1BAEFBF7">
                  <w:pPr>
                    <w:pStyle w:val="15"/>
                    <w:ind w:firstLine="0" w:firstLineChars="0"/>
                    <w:rPr>
                      <w:szCs w:val="21"/>
                    </w:rPr>
                  </w:pPr>
                  <w:r>
                    <w:rPr>
                      <w:rFonts w:hint="eastAsia" w:ascii="宋体" w:hAnsi="宋体" w:cs="宋体"/>
                      <w:bCs/>
                      <w:color w:val="000000"/>
                      <w:lang w:val="en-US" w:eastAsia="zh-CN"/>
                    </w:rPr>
                    <w:t>各方合计：5-10%</w:t>
                  </w:r>
                </w:p>
              </w:tc>
            </w:tr>
            <w:tr w14:paraId="1948515D">
              <w:tc>
                <w:tcPr>
                  <w:tcW w:w="2004" w:type="dxa"/>
                  <w:tcBorders>
                    <w:top w:val="single" w:color="auto" w:sz="4" w:space="0"/>
                    <w:left w:val="single" w:color="auto" w:sz="4" w:space="0"/>
                    <w:bottom w:val="single" w:color="auto" w:sz="4" w:space="0"/>
                    <w:right w:val="single" w:color="auto" w:sz="4" w:space="0"/>
                  </w:tcBorders>
                  <w:noWrap w:val="0"/>
                  <w:vAlign w:val="top"/>
                </w:tcPr>
                <w:p w14:paraId="4F2BA2C2">
                  <w:pPr>
                    <w:pStyle w:val="15"/>
                    <w:ind w:firstLine="0" w:firstLineChars="0"/>
                    <w:rPr>
                      <w:szCs w:val="21"/>
                    </w:rPr>
                  </w:pPr>
                  <w:r>
                    <w:rPr>
                      <w:rFonts w:hint="eastAsia" w:ascii="宋体" w:hAnsi="宋体" w:cs="宋体"/>
                      <w:bCs/>
                      <w:color w:val="000000"/>
                      <w:lang w:val="en-US" w:eastAsia="zh-CN"/>
                    </w:rPr>
                    <w:t>传统燃油乘用车市场</w:t>
                  </w:r>
                </w:p>
              </w:tc>
              <w:tc>
                <w:tcPr>
                  <w:tcW w:w="2090" w:type="dxa"/>
                  <w:tcBorders>
                    <w:top w:val="single" w:color="auto" w:sz="4" w:space="0"/>
                    <w:left w:val="single" w:color="auto" w:sz="4" w:space="0"/>
                    <w:bottom w:val="single" w:color="auto" w:sz="4" w:space="0"/>
                    <w:right w:val="single" w:color="auto" w:sz="4" w:space="0"/>
                  </w:tcBorders>
                  <w:noWrap w:val="0"/>
                  <w:vAlign w:val="top"/>
                </w:tcPr>
                <w:p w14:paraId="0BF43B3D">
                  <w:pPr>
                    <w:pStyle w:val="15"/>
                    <w:ind w:firstLine="0" w:firstLineChars="0"/>
                    <w:rPr>
                      <w:szCs w:val="21"/>
                    </w:rPr>
                  </w:pPr>
                  <w:r>
                    <w:rPr>
                      <w:rFonts w:hint="eastAsia"/>
                      <w:szCs w:val="21"/>
                    </w:rPr>
                    <w:t>中国境内</w:t>
                  </w:r>
                </w:p>
              </w:tc>
              <w:tc>
                <w:tcPr>
                  <w:tcW w:w="2590" w:type="dxa"/>
                  <w:tcBorders>
                    <w:top w:val="single" w:color="auto" w:sz="4" w:space="0"/>
                    <w:left w:val="single" w:color="auto" w:sz="4" w:space="0"/>
                    <w:bottom w:val="single" w:color="auto" w:sz="4" w:space="0"/>
                    <w:right w:val="single" w:color="auto" w:sz="4" w:space="0"/>
                  </w:tcBorders>
                  <w:noWrap w:val="0"/>
                  <w:vAlign w:val="top"/>
                </w:tcPr>
                <w:p w14:paraId="239D936A">
                  <w:pPr>
                    <w:pStyle w:val="15"/>
                    <w:ind w:firstLine="0" w:firstLineChars="0"/>
                    <w:rPr>
                      <w:rFonts w:hint="eastAsia" w:ascii="宋体" w:hAnsi="宋体" w:cs="宋体"/>
                      <w:bCs/>
                      <w:color w:val="000000"/>
                      <w:lang w:val="en-US" w:eastAsia="zh-CN"/>
                    </w:rPr>
                  </w:pPr>
                  <w:r>
                    <w:rPr>
                      <w:rFonts w:hint="eastAsia" w:ascii="宋体" w:hAnsi="宋体" w:cs="宋体"/>
                      <w:bCs/>
                      <w:color w:val="000000"/>
                      <w:lang w:val="en-US" w:eastAsia="zh-CN"/>
                    </w:rPr>
                    <w:t>长安汽车：5%-10%</w:t>
                  </w:r>
                </w:p>
                <w:p w14:paraId="487672C4">
                  <w:pPr>
                    <w:pStyle w:val="15"/>
                    <w:ind w:firstLine="0" w:firstLineChars="0"/>
                    <w:rPr>
                      <w:rFonts w:hint="eastAsia" w:ascii="宋体" w:hAnsi="宋体" w:cs="宋体"/>
                      <w:bCs/>
                      <w:color w:val="000000"/>
                      <w:lang w:val="en-US" w:eastAsia="zh-CN"/>
                    </w:rPr>
                  </w:pPr>
                  <w:r>
                    <w:rPr>
                      <w:rFonts w:hint="eastAsia" w:ascii="宋体" w:hAnsi="宋体" w:cs="宋体"/>
                      <w:bCs/>
                      <w:color w:val="000000"/>
                      <w:lang w:val="en-US" w:eastAsia="zh-CN"/>
                    </w:rPr>
                    <w:t>江铃集团: 0-5%</w:t>
                  </w:r>
                </w:p>
                <w:p w14:paraId="0E1BC517">
                  <w:pPr>
                    <w:pStyle w:val="15"/>
                    <w:ind w:firstLine="0" w:firstLineChars="0"/>
                    <w:rPr>
                      <w:rFonts w:hint="eastAsia" w:ascii="宋体" w:hAnsi="宋体" w:cs="宋体"/>
                      <w:bCs/>
                      <w:color w:val="000000"/>
                      <w:lang w:val="en-US" w:eastAsia="zh-CN"/>
                    </w:rPr>
                  </w:pPr>
                  <w:r>
                    <w:rPr>
                      <w:rFonts w:hint="eastAsia" w:ascii="宋体" w:hAnsi="宋体" w:cs="宋体"/>
                      <w:bCs/>
                      <w:color w:val="000000"/>
                      <w:lang w:val="en-US" w:eastAsia="zh-CN"/>
                    </w:rPr>
                    <w:t>江铃控股：0-5%</w:t>
                  </w:r>
                </w:p>
                <w:p w14:paraId="4E2510A0">
                  <w:pPr>
                    <w:pStyle w:val="15"/>
                    <w:ind w:firstLine="0" w:firstLineChars="0"/>
                    <w:rPr>
                      <w:szCs w:val="21"/>
                    </w:rPr>
                  </w:pPr>
                  <w:r>
                    <w:rPr>
                      <w:rFonts w:hint="eastAsia" w:ascii="宋体" w:hAnsi="宋体" w:cs="宋体"/>
                      <w:bCs/>
                      <w:color w:val="000000"/>
                      <w:lang w:val="en-US" w:eastAsia="zh-CN"/>
                    </w:rPr>
                    <w:t>各方合计：5-10%</w:t>
                  </w:r>
                </w:p>
              </w:tc>
            </w:tr>
          </w:tbl>
          <w:p w14:paraId="69C8D3DC">
            <w:pPr>
              <w:pStyle w:val="7"/>
              <w:adjustRightInd w:val="0"/>
              <w:snapToGrid w:val="0"/>
              <w:spacing w:after="0"/>
              <w:rPr>
                <w:rFonts w:hint="eastAsia" w:ascii="宋体" w:hAnsi="宋体" w:cs="宋体"/>
                <w:bCs/>
                <w:color w:val="000000"/>
                <w:lang w:val="en-US" w:eastAsia="zh-CN"/>
              </w:rPr>
            </w:pPr>
          </w:p>
        </w:tc>
      </w:tr>
    </w:tbl>
    <w:p w14:paraId="3B891BCA">
      <w:bookmarkStart w:id="0" w:name="_GoBack"/>
      <w:bookmarkEnd w:id="0"/>
    </w:p>
    <w:sectPr>
      <w:footerReference r:id="rId3" w:type="default"/>
      <w:endnotePr>
        <w:numFmt w:val="decimal"/>
      </w:endnotePr>
      <w:pgSz w:w="11906" w:h="16838"/>
      <w:pgMar w:top="1984" w:right="1474" w:bottom="1644"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ESI黑体-GB2312">
    <w:altName w:val="汉仪中黑KW"/>
    <w:panose1 w:val="020B0604020202020204"/>
    <w:charset w:val="00"/>
    <w:family w:val="auto"/>
    <w:pitch w:val="default"/>
    <w:sig w:usb0="00000000" w:usb1="00000000" w:usb2="00000012" w:usb3="00000000" w:csb0="0004000F" w:csb1="00000000"/>
  </w:font>
  <w:font w:name="汉仪中黑KW">
    <w:panose1 w:val="00020600040101010101"/>
    <w:charset w:val="86"/>
    <w:family w:val="auto"/>
    <w:pitch w:val="default"/>
    <w:sig w:usb0="A00002BF" w:usb1="18EF7CFA" w:usb2="00000016" w:usb3="00000000" w:csb0="00040000" w:csb1="00000000"/>
  </w:font>
  <w:font w:name="CESI楷体-GB2312">
    <w:altName w:val="汉仪楷体简"/>
    <w:panose1 w:val="020B0604020202020204"/>
    <w:charset w:val="00"/>
    <w:family w:val="auto"/>
    <w:pitch w:val="default"/>
    <w:sig w:usb0="00000000" w:usb1="00000000" w:usb2="00000012" w:usb3="00000000" w:csb0="0004000F" w:csb1="00000000"/>
  </w:font>
  <w:font w:name="汉仪楷体简">
    <w:panose1 w:val="02010600000101010101"/>
    <w:charset w:val="86"/>
    <w:family w:val="auto"/>
    <w:pitch w:val="default"/>
    <w:sig w:usb0="00000001" w:usb1="080E0800" w:usb2="00000002" w:usb3="00000000" w:csb0="00040000" w:csb1="00000000"/>
  </w:font>
  <w:font w:name="方正楷体_GBK">
    <w:altName w:val="汉仪楷体简"/>
    <w:panose1 w:val="020B0604020202020204"/>
    <w:charset w:val="00"/>
    <w:family w:val="auto"/>
    <w:pitch w:val="default"/>
    <w:sig w:usb0="00000000" w:usb1="00000000" w:usb2="00000000" w:usb3="00000000" w:csb0="00040000" w:csb1="00000000"/>
  </w:font>
  <w:font w:name="Simplified Arabic">
    <w:altName w:val="Helvetica Neue"/>
    <w:panose1 w:val="02020603050405020304"/>
    <w:charset w:val="B2"/>
    <w:family w:val="roman"/>
    <w:pitch w:val="default"/>
    <w:sig w:usb0="00000000" w:usb1="00000000" w:usb2="00000008" w:usb3="00000000" w:csb0="0000004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DBFFC">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9D9F1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39D9F10">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733A5F"/>
    <w:multiLevelType w:val="multilevel"/>
    <w:tmpl w:val="4B733A5F"/>
    <w:lvl w:ilvl="0" w:tentative="0">
      <w:start w:val="1"/>
      <w:numFmt w:val="decimal"/>
      <w:pStyle w:val="16"/>
      <w:suff w:val="nothing"/>
      <w:lvlText w:val="示例%1："/>
      <w:lvlJc w:val="left"/>
      <w:pPr>
        <w:ind w:left="0" w:firstLine="363"/>
      </w:pPr>
      <w:rPr>
        <w:rFonts w:hint="default" w:ascii="黑体" w:eastAsia="黑体"/>
        <w:b w:val="0"/>
        <w:i w:val="0"/>
        <w:sz w:val="20"/>
        <w:szCs w:val="21"/>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6FBDD792"/>
    <w:rsid w:val="000368E9"/>
    <w:rsid w:val="0077649D"/>
    <w:rsid w:val="00AA13D8"/>
    <w:rsid w:val="00B34CF6"/>
    <w:rsid w:val="00B44B9E"/>
    <w:rsid w:val="00C27F78"/>
    <w:rsid w:val="00C84C08"/>
    <w:rsid w:val="028840AF"/>
    <w:rsid w:val="04C66C1A"/>
    <w:rsid w:val="08E158A2"/>
    <w:rsid w:val="0FCB95D2"/>
    <w:rsid w:val="1224631A"/>
    <w:rsid w:val="13F15F6F"/>
    <w:rsid w:val="19DD25E4"/>
    <w:rsid w:val="1D6F6EFE"/>
    <w:rsid w:val="1EFF79DB"/>
    <w:rsid w:val="1F7C72D8"/>
    <w:rsid w:val="297D67B3"/>
    <w:rsid w:val="2D246E2C"/>
    <w:rsid w:val="2FFE1A18"/>
    <w:rsid w:val="33A9646D"/>
    <w:rsid w:val="33AF9130"/>
    <w:rsid w:val="39253147"/>
    <w:rsid w:val="3ADFDA13"/>
    <w:rsid w:val="3B2D4682"/>
    <w:rsid w:val="3EFED501"/>
    <w:rsid w:val="3F3472D2"/>
    <w:rsid w:val="3F7F152F"/>
    <w:rsid w:val="3FFB76BA"/>
    <w:rsid w:val="43CC3C6E"/>
    <w:rsid w:val="46DFCD99"/>
    <w:rsid w:val="475FC2F3"/>
    <w:rsid w:val="49659447"/>
    <w:rsid w:val="4C0F3FD0"/>
    <w:rsid w:val="4F7F4EB1"/>
    <w:rsid w:val="511432B7"/>
    <w:rsid w:val="5596691C"/>
    <w:rsid w:val="58F52F0E"/>
    <w:rsid w:val="59FAB6B4"/>
    <w:rsid w:val="5BEF6863"/>
    <w:rsid w:val="5BEF7DC8"/>
    <w:rsid w:val="5C6AC506"/>
    <w:rsid w:val="5DBB2A74"/>
    <w:rsid w:val="5E224037"/>
    <w:rsid w:val="5EBBF2A9"/>
    <w:rsid w:val="5F09CE98"/>
    <w:rsid w:val="5F56DD66"/>
    <w:rsid w:val="5FFFBDCB"/>
    <w:rsid w:val="622B7232"/>
    <w:rsid w:val="65351DA4"/>
    <w:rsid w:val="6AFC31C5"/>
    <w:rsid w:val="6B8148C3"/>
    <w:rsid w:val="6BFFC8D4"/>
    <w:rsid w:val="6DFB918B"/>
    <w:rsid w:val="6E9FB973"/>
    <w:rsid w:val="6FBDD792"/>
    <w:rsid w:val="70A1528F"/>
    <w:rsid w:val="73DF90D4"/>
    <w:rsid w:val="73F532D8"/>
    <w:rsid w:val="73F57DD4"/>
    <w:rsid w:val="74D42207"/>
    <w:rsid w:val="75DF2763"/>
    <w:rsid w:val="75FF6D69"/>
    <w:rsid w:val="76D76867"/>
    <w:rsid w:val="76FE3A0F"/>
    <w:rsid w:val="77DF7409"/>
    <w:rsid w:val="77F8810C"/>
    <w:rsid w:val="77FDBD74"/>
    <w:rsid w:val="7A8C48BA"/>
    <w:rsid w:val="7AED1FFE"/>
    <w:rsid w:val="7AFFB2DD"/>
    <w:rsid w:val="7BE9FB5F"/>
    <w:rsid w:val="7BFF5937"/>
    <w:rsid w:val="7D7D4415"/>
    <w:rsid w:val="7DED44B2"/>
    <w:rsid w:val="7DFFF189"/>
    <w:rsid w:val="7F4A2270"/>
    <w:rsid w:val="7F634BAC"/>
    <w:rsid w:val="7F6F728B"/>
    <w:rsid w:val="7FAF1FD1"/>
    <w:rsid w:val="7FBF6FAF"/>
    <w:rsid w:val="7FBF87E2"/>
    <w:rsid w:val="7FDBDB25"/>
    <w:rsid w:val="7FE325E3"/>
    <w:rsid w:val="7FEF3501"/>
    <w:rsid w:val="7FF6D9F9"/>
    <w:rsid w:val="7FFF88F0"/>
    <w:rsid w:val="7FFFB629"/>
    <w:rsid w:val="8EAE45C5"/>
    <w:rsid w:val="97FB879A"/>
    <w:rsid w:val="9B68F012"/>
    <w:rsid w:val="9B7FA9C1"/>
    <w:rsid w:val="9DFD87BD"/>
    <w:rsid w:val="9F9DCBBF"/>
    <w:rsid w:val="ADBD630C"/>
    <w:rsid w:val="B1AFC4F5"/>
    <w:rsid w:val="B53F85F9"/>
    <w:rsid w:val="B7578695"/>
    <w:rsid w:val="BBBCE6DD"/>
    <w:rsid w:val="BBD36F41"/>
    <w:rsid w:val="BC3517BA"/>
    <w:rsid w:val="BFB8A6AD"/>
    <w:rsid w:val="CFEB3872"/>
    <w:rsid w:val="D76F6EF4"/>
    <w:rsid w:val="D7B9537F"/>
    <w:rsid w:val="D9FEED97"/>
    <w:rsid w:val="DFBB482E"/>
    <w:rsid w:val="DFBC2832"/>
    <w:rsid w:val="DFFC4C00"/>
    <w:rsid w:val="DFFCC2EC"/>
    <w:rsid w:val="DFFD245B"/>
    <w:rsid w:val="E47C9110"/>
    <w:rsid w:val="E8D6C1C9"/>
    <w:rsid w:val="EB98AE4E"/>
    <w:rsid w:val="EEBF0A33"/>
    <w:rsid w:val="EF7CA40F"/>
    <w:rsid w:val="EFFF9D5B"/>
    <w:rsid w:val="F0CF0FA1"/>
    <w:rsid w:val="F3FC20B2"/>
    <w:rsid w:val="F75F57BF"/>
    <w:rsid w:val="F78D7951"/>
    <w:rsid w:val="F7B5539F"/>
    <w:rsid w:val="F7BD343A"/>
    <w:rsid w:val="F7DBD425"/>
    <w:rsid w:val="FB46F0CF"/>
    <w:rsid w:val="FBF73FA6"/>
    <w:rsid w:val="FC7BC5E7"/>
    <w:rsid w:val="FE968A32"/>
    <w:rsid w:val="FEFB7B3A"/>
    <w:rsid w:val="FEFED215"/>
    <w:rsid w:val="FEFF3882"/>
    <w:rsid w:val="FF4D7092"/>
    <w:rsid w:val="FF6F07A3"/>
    <w:rsid w:val="FF6F40A8"/>
    <w:rsid w:val="FF7C73E8"/>
    <w:rsid w:val="FFB7CE86"/>
    <w:rsid w:val="FFC7B96D"/>
    <w:rsid w:val="FFFBDBDE"/>
    <w:rsid w:val="FFFCE7EB"/>
    <w:rsid w:val="FFFF7513"/>
    <w:rsid w:val="FFFF9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jc w:val="center"/>
      <w:outlineLvl w:val="0"/>
    </w:pPr>
    <w:rPr>
      <w:rFonts w:ascii="Calibri" w:hAnsi="Calibri" w:eastAsia="CESI黑体-GB2312"/>
      <w:kern w:val="44"/>
      <w:sz w:val="36"/>
    </w:rPr>
  </w:style>
  <w:style w:type="paragraph" w:styleId="3">
    <w:name w:val="heading 2"/>
    <w:basedOn w:val="1"/>
    <w:next w:val="1"/>
    <w:qFormat/>
    <w:uiPriority w:val="0"/>
    <w:pPr>
      <w:keepNext/>
      <w:keepLines/>
      <w:spacing w:before="260" w:after="260"/>
      <w:jc w:val="center"/>
      <w:outlineLvl w:val="1"/>
    </w:pPr>
    <w:rPr>
      <w:rFonts w:ascii="Arial" w:hAnsi="Arial" w:eastAsia="黑体"/>
      <w:sz w:val="32"/>
    </w:rPr>
  </w:style>
  <w:style w:type="paragraph" w:styleId="4">
    <w:name w:val="heading 3"/>
    <w:basedOn w:val="1"/>
    <w:next w:val="1"/>
    <w:qFormat/>
    <w:uiPriority w:val="0"/>
    <w:pPr>
      <w:keepNext/>
      <w:keepLines/>
      <w:spacing w:before="260" w:after="260"/>
      <w:jc w:val="center"/>
      <w:outlineLvl w:val="2"/>
    </w:pPr>
    <w:rPr>
      <w:rFonts w:ascii="Calibri" w:hAnsi="Calibri" w:eastAsia="CESI楷体-GB2312"/>
      <w:sz w:val="30"/>
    </w:rPr>
  </w:style>
  <w:style w:type="paragraph" w:styleId="5">
    <w:name w:val="heading 4"/>
    <w:basedOn w:val="1"/>
    <w:next w:val="1"/>
    <w:link w:val="13"/>
    <w:qFormat/>
    <w:uiPriority w:val="0"/>
    <w:pPr>
      <w:keepNext/>
      <w:keepLines/>
      <w:spacing w:before="280" w:after="290"/>
      <w:jc w:val="left"/>
      <w:outlineLvl w:val="3"/>
    </w:pPr>
    <w:rPr>
      <w:rFonts w:ascii="Arial" w:hAnsi="Arial" w:eastAsia="方正楷体_GBK"/>
      <w:color w:val="C00000"/>
      <w:sz w:val="28"/>
    </w:rPr>
  </w:style>
  <w:style w:type="paragraph" w:styleId="6">
    <w:name w:val="heading 5"/>
    <w:basedOn w:val="1"/>
    <w:next w:val="1"/>
    <w:qFormat/>
    <w:uiPriority w:val="0"/>
    <w:pPr>
      <w:keepNext/>
      <w:keepLines/>
      <w:spacing w:before="280" w:after="290" w:line="372"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Body Text"/>
    <w:qFormat/>
    <w:uiPriority w:val="0"/>
    <w:pPr>
      <w:spacing w:after="240"/>
      <w:jc w:val="both"/>
    </w:pPr>
    <w:rPr>
      <w:rFonts w:ascii="Times New Roman" w:hAnsi="Times New Roman" w:eastAsia="宋体" w:cs="Simplified Arabic"/>
      <w:sz w:val="24"/>
      <w:szCs w:val="24"/>
      <w:lang w:val="en-GB" w:eastAsia="en-GB" w:bidi="ar-AE"/>
    </w:r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1">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
  </w:style>
  <w:style w:type="character" w:customStyle="1" w:styleId="13">
    <w:name w:val="标题 4 字符"/>
    <w:link w:val="5"/>
    <w:qFormat/>
    <w:uiPriority w:val="0"/>
    <w:rPr>
      <w:rFonts w:ascii="Arial" w:hAnsi="Arial" w:eastAsia="方正楷体_GBK"/>
      <w:color w:val="C00000"/>
      <w:sz w:val="28"/>
    </w:rPr>
  </w:style>
  <w:style w:type="paragraph" w:customStyle="1" w:styleId="14">
    <w:name w:val="标题五"/>
    <w:basedOn w:val="6"/>
    <w:next w:val="1"/>
    <w:qFormat/>
    <w:uiPriority w:val="0"/>
    <w:rPr>
      <w:rFonts w:ascii="Arial" w:hAnsi="Arial" w:eastAsia="黑体" w:cs="Arial"/>
      <w:b w:val="0"/>
      <w:snapToGrid w:val="0"/>
      <w:color w:val="000000"/>
      <w:kern w:val="0"/>
      <w:sz w:val="21"/>
      <w:szCs w:val="21"/>
    </w:rPr>
  </w:style>
  <w:style w:type="paragraph" w:customStyle="1" w:styleId="15">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16">
    <w:name w:val="标准文件_示例×："/>
    <w:basedOn w:val="1"/>
    <w:next w:val="17"/>
    <w:qFormat/>
    <w:uiPriority w:val="0"/>
    <w:pPr>
      <w:widowControl/>
      <w:numPr>
        <w:ilvl w:val="0"/>
        <w:numId w:val="1"/>
      </w:numPr>
    </w:pPr>
    <w:rPr>
      <w:rFonts w:ascii="宋体"/>
      <w:kern w:val="0"/>
      <w:sz w:val="18"/>
      <w:szCs w:val="18"/>
    </w:rPr>
  </w:style>
  <w:style w:type="paragraph" w:customStyle="1" w:styleId="17">
    <w:name w:val="标准文件_示例内容"/>
    <w:basedOn w:val="15"/>
    <w:qFormat/>
    <w:uiPriority w:val="0"/>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176</Words>
  <Characters>1004</Characters>
  <Lines>8</Lines>
  <Paragraphs>2</Paragraphs>
  <TotalTime>1</TotalTime>
  <ScaleCrop>false</ScaleCrop>
  <LinksUpToDate>false</LinksUpToDate>
  <CharactersWithSpaces>1178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2026-04-02T17:44:00Z</dcterms:created>
  <dc:creator>oa</dc:creator>
  <cp:lastModifiedBy>zlwd</cp:lastModifiedBy>
  <dcterms:modified xsi:type="dcterms:W3CDTF">2026-04-22T15:09:54Z</dcterms:modified>
  <dc:title>附件4</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D05EF2309C066EE5C2D4C969107CD8C4_43</vt:lpwstr>
  </property>
  <property fmtid="{D5CDD505-2E9C-101B-9397-08002B2CF9AE}" pid="4" name="KSOTemplateDocerSaveRecord">
    <vt:lpwstr>eyJoZGlkIjoiZjlkZmJjMzA1Y2Y0NTgwNjBkOTU3MmYwNzNhY2UwOGUiLCJ1c2VySWQiOiI0NjIwNjIzNDYifQ==</vt:lpwstr>
  </property>
</Properties>
</file>