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47C18">
      <w:pPr>
        <w:widowControl/>
        <w:spacing w:after="240"/>
        <w:jc w:val="center"/>
        <w:rPr>
          <w:rFonts w:hint="eastAsia" w:ascii="方正小标宋简体" w:hAnsi="方正小标宋简体" w:eastAsia="方正小标宋简体" w:cs="方正小标宋简体"/>
          <w:kern w:val="0"/>
          <w:sz w:val="44"/>
          <w:szCs w:val="44"/>
          <w:lang w:val="en-GB" w:bidi="ar"/>
        </w:rPr>
      </w:pPr>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1F50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3230B038">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6247D24D">
            <w:pPr>
              <w:widowControl/>
              <w:adjustRightInd w:val="0"/>
              <w:snapToGrid w:val="0"/>
              <w:rPr>
                <w:bCs/>
                <w:color w:val="000000"/>
                <w:sz w:val="24"/>
              </w:rPr>
            </w:pPr>
            <w:r>
              <w:rPr>
                <w:rFonts w:hint="eastAsia"/>
                <w:sz w:val="24"/>
              </w:rPr>
              <w:t>华润文化体育发展有限公司与深圳市南山文化体育产业有限公司新设合营企业案</w:t>
            </w:r>
          </w:p>
        </w:tc>
      </w:tr>
      <w:tr w14:paraId="6E98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58E6A0A">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089A6F1F">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华润文化体育发展有限公司（“华润文体”）与深圳市南山文化体育产业有限公司（“南山文体”）签署协议，拟设立一家合营企业。合营企业将主要从事大沙河文体中心的运营管理业务。交易后，华润文体与南山文体将分别持有合营企业51%、49%的股权，共同控制合营企业。</w:t>
            </w:r>
          </w:p>
        </w:tc>
      </w:tr>
      <w:tr w14:paraId="0B4A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6E2404BB">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6A864495">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华润文体</w:t>
            </w:r>
          </w:p>
        </w:tc>
        <w:tc>
          <w:tcPr>
            <w:tcW w:w="6224" w:type="dxa"/>
            <w:vAlign w:val="center"/>
          </w:tcPr>
          <w:p w14:paraId="31396AE4">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华润文体于2017年8月10日成立于广东省深圳市，主要业务为体育场馆运营管理、体育赛事运营。</w:t>
            </w:r>
          </w:p>
          <w:p w14:paraId="6D67618E">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rPr>
              <w:t>华润文体最终控制人为中国华润有限公司，主要业务涉及大消费、综合能源、城市建设与运营、大健康、产业金融、科技及新兴产业领域。</w:t>
            </w:r>
          </w:p>
        </w:tc>
      </w:tr>
      <w:tr w14:paraId="4BC6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02A686A2">
            <w:pPr>
              <w:pStyle w:val="7"/>
              <w:widowControl/>
              <w:adjustRightInd w:val="0"/>
              <w:snapToGrid w:val="0"/>
              <w:spacing w:after="0"/>
              <w:jc w:val="center"/>
              <w:rPr>
                <w:bCs/>
                <w:color w:val="000000"/>
                <w:sz w:val="24"/>
              </w:rPr>
            </w:pPr>
          </w:p>
        </w:tc>
        <w:tc>
          <w:tcPr>
            <w:tcW w:w="1476" w:type="dxa"/>
            <w:vAlign w:val="center"/>
          </w:tcPr>
          <w:p w14:paraId="5CC67E04">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南山文体</w:t>
            </w:r>
          </w:p>
        </w:tc>
        <w:tc>
          <w:tcPr>
            <w:tcW w:w="6224" w:type="dxa"/>
            <w:vAlign w:val="center"/>
          </w:tcPr>
          <w:p w14:paraId="0C5D7C60">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南山文体于2024年3月19日成立于广东省深圳市，主要业务为体育场馆运营管理。</w:t>
            </w:r>
          </w:p>
          <w:p w14:paraId="66712A3F">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南山文体最终控制人为深圳市西部人力资源发展有限公司，主要业务为人力资源服务、安保服务、培训服务、场馆运维以及赛演活动。</w:t>
            </w:r>
          </w:p>
        </w:tc>
      </w:tr>
      <w:tr w14:paraId="0377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178E9DA8">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7B6B282E">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1、在同一相关市场，参与集中的经营者所占市场份额之和小于15%。</w:t>
            </w:r>
          </w:p>
        </w:tc>
      </w:tr>
      <w:tr w14:paraId="6D75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3B5739DE">
            <w:pPr>
              <w:pStyle w:val="7"/>
              <w:widowControl/>
              <w:adjustRightInd w:val="0"/>
              <w:snapToGrid w:val="0"/>
              <w:spacing w:after="0"/>
              <w:jc w:val="center"/>
              <w:rPr>
                <w:bCs/>
                <w:color w:val="000000"/>
                <w:sz w:val="24"/>
              </w:rPr>
            </w:pPr>
          </w:p>
        </w:tc>
        <w:tc>
          <w:tcPr>
            <w:tcW w:w="7700" w:type="dxa"/>
            <w:gridSpan w:val="2"/>
            <w:vAlign w:val="center"/>
          </w:tcPr>
          <w:p w14:paraId="623D8A18">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2、在上下游市场，参与集中的经营者所占的市场份额均小于25%。</w:t>
            </w:r>
          </w:p>
        </w:tc>
      </w:tr>
      <w:tr w14:paraId="009C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6A6C77F9">
            <w:pPr>
              <w:pStyle w:val="7"/>
              <w:widowControl/>
              <w:adjustRightInd w:val="0"/>
              <w:snapToGrid w:val="0"/>
              <w:spacing w:after="0"/>
              <w:jc w:val="center"/>
              <w:rPr>
                <w:bCs/>
                <w:color w:val="000000"/>
                <w:sz w:val="24"/>
              </w:rPr>
            </w:pPr>
          </w:p>
        </w:tc>
        <w:tc>
          <w:tcPr>
            <w:tcW w:w="7700" w:type="dxa"/>
            <w:gridSpan w:val="2"/>
            <w:vAlign w:val="center"/>
          </w:tcPr>
          <w:p w14:paraId="211A7D94">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509C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78658A41">
            <w:pPr>
              <w:pStyle w:val="7"/>
              <w:widowControl/>
              <w:adjustRightInd w:val="0"/>
              <w:snapToGrid w:val="0"/>
              <w:spacing w:after="0"/>
              <w:jc w:val="center"/>
              <w:rPr>
                <w:bCs/>
                <w:color w:val="000000"/>
                <w:sz w:val="24"/>
              </w:rPr>
            </w:pPr>
          </w:p>
        </w:tc>
        <w:tc>
          <w:tcPr>
            <w:tcW w:w="7700" w:type="dxa"/>
            <w:gridSpan w:val="2"/>
            <w:vAlign w:val="center"/>
          </w:tcPr>
          <w:p w14:paraId="13420564">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3D12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940" w:type="dxa"/>
            <w:vMerge w:val="continue"/>
            <w:shd w:val="clear" w:color="auto" w:fill="D9D9D9"/>
            <w:vAlign w:val="center"/>
          </w:tcPr>
          <w:p w14:paraId="255A0163">
            <w:pPr>
              <w:pStyle w:val="7"/>
              <w:widowControl/>
              <w:adjustRightInd w:val="0"/>
              <w:snapToGrid w:val="0"/>
              <w:spacing w:after="0"/>
              <w:jc w:val="center"/>
              <w:rPr>
                <w:bCs/>
                <w:color w:val="000000"/>
                <w:sz w:val="24"/>
              </w:rPr>
            </w:pPr>
          </w:p>
        </w:tc>
        <w:tc>
          <w:tcPr>
            <w:tcW w:w="7700" w:type="dxa"/>
            <w:gridSpan w:val="2"/>
            <w:vAlign w:val="center"/>
          </w:tcPr>
          <w:p w14:paraId="713691F1">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4805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3A66F7A8">
            <w:pPr>
              <w:pStyle w:val="7"/>
              <w:widowControl/>
              <w:adjustRightInd w:val="0"/>
              <w:snapToGrid w:val="0"/>
              <w:spacing w:after="0"/>
              <w:jc w:val="center"/>
              <w:rPr>
                <w:bCs/>
                <w:color w:val="000000"/>
                <w:sz w:val="24"/>
              </w:rPr>
            </w:pPr>
          </w:p>
        </w:tc>
        <w:tc>
          <w:tcPr>
            <w:tcW w:w="7700" w:type="dxa"/>
            <w:gridSpan w:val="2"/>
            <w:vAlign w:val="center"/>
          </w:tcPr>
          <w:p w14:paraId="5F953709">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7A5C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6BBB536D">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58083870">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横向重叠：</w:t>
            </w:r>
          </w:p>
          <w:p w14:paraId="1AC54197">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2024年中国境内体育场馆运营管理市场:</w:t>
            </w:r>
          </w:p>
          <w:p w14:paraId="65180B9E">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华润文体：0-5%，南山文体: 0-5%，各方合计：0-5%</w:t>
            </w:r>
          </w:p>
          <w:p w14:paraId="2A9F40F4">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2024年中国境内体育赛事运营市场：</w:t>
            </w:r>
          </w:p>
          <w:p w14:paraId="5F220C4E">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华润文体：0-5%，南山文体: 0-5%，各方合计：0-5%</w:t>
            </w:r>
          </w:p>
          <w:p w14:paraId="56531D7D">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纵向关联：</w:t>
            </w:r>
          </w:p>
          <w:p w14:paraId="5256DC30">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上游：2024年中国境内体育场馆运营管理市场：</w:t>
            </w:r>
          </w:p>
          <w:p w14:paraId="24DD8E2B">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如上所述</w:t>
            </w:r>
          </w:p>
          <w:p w14:paraId="0F64100E">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下游：2024年中国境内体育赛事运营市场：</w:t>
            </w:r>
          </w:p>
          <w:p w14:paraId="0824E271">
            <w:pPr>
              <w:pStyle w:val="7"/>
              <w:widowControl/>
              <w:adjustRightInd w:val="0"/>
              <w:snapToGrid w:val="0"/>
              <w:spacing w:after="0"/>
              <w:rPr>
                <w:rFonts w:hint="eastAsia"/>
                <w:bCs/>
                <w:color w:val="000000"/>
                <w:kern w:val="0"/>
                <w:sz w:val="24"/>
              </w:rPr>
            </w:pPr>
            <w:r>
              <w:rPr>
                <w:rFonts w:hint="eastAsia"/>
                <w:b w:val="0"/>
                <w:bCs/>
                <w:color w:val="000000"/>
                <w:kern w:val="0"/>
                <w:sz w:val="24"/>
                <w:lang w:val="en-GB" w:eastAsia="zh-CN"/>
              </w:rPr>
              <w:t>如上所述</w:t>
            </w:r>
          </w:p>
        </w:tc>
      </w:tr>
    </w:tbl>
    <w:p w14:paraId="5EF2FCC9">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B66C17"/>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BEA34"/>
    <w:rsid w:val="7BFD7C4E"/>
    <w:rsid w:val="7BFDD557"/>
    <w:rsid w:val="7BFFD823"/>
    <w:rsid w:val="7BFFE06B"/>
    <w:rsid w:val="7BFFE7AB"/>
    <w:rsid w:val="7C235B45"/>
    <w:rsid w:val="7C3D2845"/>
    <w:rsid w:val="7C5D2D50"/>
    <w:rsid w:val="7C7918BC"/>
    <w:rsid w:val="7CBEF0D0"/>
    <w:rsid w:val="7CCB66D7"/>
    <w:rsid w:val="7CFFE32C"/>
    <w:rsid w:val="7D6F58DB"/>
    <w:rsid w:val="7DBFEE7D"/>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B70FD4"/>
    <w:rsid w:val="7FBBC276"/>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FF3CF8"/>
    <w:rsid w:val="9CBD0B1A"/>
    <w:rsid w:val="9CE361F9"/>
    <w:rsid w:val="9CF59A21"/>
    <w:rsid w:val="9D7F0CB7"/>
    <w:rsid w:val="9DEFBA4D"/>
    <w:rsid w:val="9EF781DE"/>
    <w:rsid w:val="9F67B1E1"/>
    <w:rsid w:val="9F920F21"/>
    <w:rsid w:val="A7F9C1DE"/>
    <w:rsid w:val="A9AD231D"/>
    <w:rsid w:val="ADFAC79E"/>
    <w:rsid w:val="AE7E1E17"/>
    <w:rsid w:val="AFC56981"/>
    <w:rsid w:val="B32F9DC2"/>
    <w:rsid w:val="B4FDB160"/>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D7F54D6"/>
    <w:rsid w:val="CDCB4AA8"/>
    <w:rsid w:val="CDDEA08E"/>
    <w:rsid w:val="CEFF7CED"/>
    <w:rsid w:val="CF7F6B7D"/>
    <w:rsid w:val="CFF64343"/>
    <w:rsid w:val="D3F22235"/>
    <w:rsid w:val="D49B5E3D"/>
    <w:rsid w:val="D5B58DC7"/>
    <w:rsid w:val="D5DB8D8A"/>
    <w:rsid w:val="D7E88F55"/>
    <w:rsid w:val="DB33A89B"/>
    <w:rsid w:val="DBF2E9D5"/>
    <w:rsid w:val="DBF3BC9D"/>
    <w:rsid w:val="DD4D51D5"/>
    <w:rsid w:val="DDA91EB6"/>
    <w:rsid w:val="DDAF5738"/>
    <w:rsid w:val="DDBE5093"/>
    <w:rsid w:val="DDDE42F9"/>
    <w:rsid w:val="DDEFBA43"/>
    <w:rsid w:val="DDEFC054"/>
    <w:rsid w:val="DE6F6814"/>
    <w:rsid w:val="DE871169"/>
    <w:rsid w:val="DEAFB90F"/>
    <w:rsid w:val="DEFB0BFE"/>
    <w:rsid w:val="DF21B821"/>
    <w:rsid w:val="DFAF05F1"/>
    <w:rsid w:val="DFBFBE16"/>
    <w:rsid w:val="DFD76A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EFD57A8"/>
    <w:rsid w:val="EF7B63E3"/>
    <w:rsid w:val="EF7F4E2A"/>
    <w:rsid w:val="EF7F9BE8"/>
    <w:rsid w:val="EFC62B3A"/>
    <w:rsid w:val="EFCDBC8D"/>
    <w:rsid w:val="EFFF0144"/>
    <w:rsid w:val="EFFFDD70"/>
    <w:rsid w:val="F1B778F1"/>
    <w:rsid w:val="F3FF743F"/>
    <w:rsid w:val="F4FF55F7"/>
    <w:rsid w:val="F5F7F5CB"/>
    <w:rsid w:val="F5F97876"/>
    <w:rsid w:val="F6654662"/>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339DB"/>
    <w:rsid w:val="FEFB2882"/>
    <w:rsid w:val="FEFD2C3B"/>
    <w:rsid w:val="FF57FBD6"/>
    <w:rsid w:val="FF5F2CB5"/>
    <w:rsid w:val="FF5FC2B3"/>
    <w:rsid w:val="FF7645E0"/>
    <w:rsid w:val="FFB70466"/>
    <w:rsid w:val="FFBC3961"/>
    <w:rsid w:val="FFCF003E"/>
    <w:rsid w:val="FFEE6CF6"/>
    <w:rsid w:val="FFEF9B99"/>
    <w:rsid w:val="FFF7BE83"/>
    <w:rsid w:val="FFF854DA"/>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1894</Words>
  <Characters>2042</Characters>
  <Lines>116</Lines>
  <Paragraphs>97</Paragraphs>
  <TotalTime>16</TotalTime>
  <ScaleCrop>false</ScaleCrop>
  <LinksUpToDate>false</LinksUpToDate>
  <CharactersWithSpaces>2164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2025-03-16T09:36:00Z</dcterms:created>
  <dc:creator>张斌（反垄断处）</dc:creator>
  <cp:lastModifiedBy>郑玉丽</cp:lastModifiedBy>
  <cp:lastPrinted>2026-04-22T09:19:00Z</cp:lastPrinted>
  <dcterms:modified xsi:type="dcterms:W3CDTF">2026-04-29T02:06:28Z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5E84994A8920FE33E922F06963FE8EB4</vt:lpwstr>
  </property>
  <property fmtid="{D5CDD505-2E9C-101B-9397-08002B2CF9AE}" pid="4" name="KSOTemplateDocerSaveRecord">
    <vt:lpwstr>eyJoZGlkIjoiODNjM2VkZWUwYjdkZDYzZGY2NmZiZGNiZGIyMjFjYWIiLCJ1c2VySWQiOiIxMjE0ODEzMDc5In0=</vt:lpwstr>
  </property>
</Properties>
</file>