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47C18">
      <w:pPr>
        <w:widowControl/>
        <w:spacing w:after="240"/>
        <w:jc w:val="center"/>
        <w:rPr>
          <w:rFonts w:hint="eastAsia" w:ascii="方正小标宋简体" w:hAnsi="方正小标宋简体" w:eastAsia="方正小标宋简体" w:cs="方正小标宋简体"/>
          <w:kern w:val="0"/>
          <w:sz w:val="44"/>
          <w:szCs w:val="44"/>
          <w:lang w:val="en-GB" w:bidi="ar"/>
        </w:rPr>
      </w:pPr>
      <w:bookmarkStart w:id="0" w:name="_GoBack"/>
      <w:bookmarkEnd w:id="0"/>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1F50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3230B038">
            <w:pPr>
              <w:pStyle w:val="7"/>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6247D24D">
            <w:pPr>
              <w:widowControl/>
              <w:adjustRightInd w:val="0"/>
              <w:snapToGrid w:val="0"/>
              <w:rPr>
                <w:bCs/>
                <w:color w:val="000000"/>
                <w:sz w:val="24"/>
              </w:rPr>
            </w:pPr>
            <w:r>
              <w:rPr>
                <w:rFonts w:hint="eastAsia" w:ascii="宋体" w:hAnsi="宋体" w:eastAsia="宋体" w:cs="宋体"/>
                <w:b w:val="0"/>
                <w:bCs/>
                <w:color w:val="000000"/>
                <w:kern w:val="0"/>
                <w:sz w:val="24"/>
                <w:szCs w:val="24"/>
                <w:lang w:val="en-US" w:eastAsia="zh-CN" w:bidi="ar-AE"/>
              </w:rPr>
              <w:t>华发物业服务有限公司与成都市锦江区统一建设有限公司新设合营企业案</w:t>
            </w:r>
          </w:p>
        </w:tc>
      </w:tr>
      <w:tr w14:paraId="6E98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58E6A0A">
            <w:pPr>
              <w:pStyle w:val="7"/>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089A6F1F">
            <w:pPr>
              <w:keepNext w:val="0"/>
              <w:keepLines w:val="0"/>
              <w:pageBreakBefore w:val="0"/>
              <w:widowControl/>
              <w:kinsoku/>
              <w:wordWrap/>
              <w:overflowPunct/>
              <w:topLinePunct w:val="0"/>
              <w:autoSpaceDE/>
              <w:autoSpaceDN/>
              <w:bidi w:val="0"/>
              <w:adjustRightInd w:val="0"/>
              <w:snapToGrid w:val="0"/>
              <w:textAlignment w:val="auto"/>
              <w:rPr>
                <w:sz w:val="24"/>
              </w:rPr>
            </w:pPr>
            <w:r>
              <w:rPr>
                <w:rFonts w:hint="eastAsia" w:ascii="宋体" w:hAnsi="宋体" w:eastAsia="宋体" w:cs="宋体"/>
                <w:b w:val="0"/>
                <w:bCs/>
                <w:color w:val="000000"/>
                <w:kern w:val="0"/>
                <w:sz w:val="24"/>
                <w:szCs w:val="24"/>
                <w:lang w:val="en-US" w:eastAsia="zh-CN" w:bidi="ar-AE"/>
              </w:rPr>
              <w:t>华发物业服务有限公司（“华发物业”）与成都市锦江区统一建设有限公司（“锦江统建”）签署合作协议，拟在四川省成都市设立一家合营公司。合营公司主要从事住宅项目的物业服务业务。交易后，华发物业持有合营公司51%股份，锦江统建持有合营公司49%股份，共同控制合营公司。</w:t>
            </w:r>
          </w:p>
        </w:tc>
      </w:tr>
      <w:tr w14:paraId="0B4A5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6E2404BB">
            <w:pPr>
              <w:pStyle w:val="7"/>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6A864495">
            <w:pPr>
              <w:pStyle w:val="7"/>
              <w:widowControl/>
              <w:adjustRightInd w:val="0"/>
              <w:snapToGrid w:val="0"/>
              <w:spacing w:after="0"/>
              <w:rPr>
                <w:rFonts w:hint="eastAsia" w:eastAsia="宋体"/>
                <w:bCs/>
                <w:color w:val="000000"/>
                <w:sz w:val="24"/>
                <w:lang w:eastAsia="zh-CN"/>
              </w:rPr>
            </w:pPr>
            <w:r>
              <w:rPr>
                <w:bCs/>
                <w:color w:val="000000"/>
                <w:sz w:val="24"/>
              </w:rPr>
              <w:t>1.</w:t>
            </w:r>
            <w:r>
              <w:rPr>
                <w:rFonts w:hint="eastAsia" w:ascii="宋体" w:hAnsi="宋体" w:eastAsia="宋体" w:cs="宋体"/>
                <w:b w:val="0"/>
                <w:bCs/>
                <w:color w:val="000000"/>
                <w:kern w:val="0"/>
                <w:sz w:val="24"/>
                <w:szCs w:val="24"/>
                <w:lang w:val="en-US" w:eastAsia="zh-CN" w:bidi="ar-AE"/>
              </w:rPr>
              <w:t>华发物业</w:t>
            </w:r>
          </w:p>
        </w:tc>
        <w:tc>
          <w:tcPr>
            <w:tcW w:w="6224" w:type="dxa"/>
            <w:vAlign w:val="center"/>
          </w:tcPr>
          <w:p w14:paraId="12FEC30D">
            <w:pPr>
              <w:pStyle w:val="7"/>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textAlignment w:val="auto"/>
              <w:rPr>
                <w:rFonts w:hint="eastAsia" w:ascii="宋体" w:hAnsi="宋体" w:eastAsia="宋体" w:cs="宋体"/>
                <w:b w:val="0"/>
                <w:bCs/>
                <w:color w:val="000000"/>
                <w:kern w:val="0"/>
                <w:sz w:val="24"/>
                <w:szCs w:val="24"/>
                <w:lang w:val="en-US" w:eastAsia="zh-CN" w:bidi="ar-AE"/>
              </w:rPr>
            </w:pPr>
            <w:r>
              <w:rPr>
                <w:rFonts w:hint="eastAsia" w:ascii="宋体" w:hAnsi="宋体" w:eastAsia="宋体" w:cs="宋体"/>
                <w:b w:val="0"/>
                <w:bCs/>
                <w:color w:val="000000"/>
                <w:kern w:val="0"/>
                <w:sz w:val="24"/>
                <w:szCs w:val="24"/>
                <w:lang w:val="en-US" w:eastAsia="zh-CN" w:bidi="ar-AE"/>
              </w:rPr>
              <w:t>华发物业于1985年9月2日成立于广东省珠海市，主要业务为</w:t>
            </w:r>
            <w:r>
              <w:rPr>
                <w:rFonts w:hint="eastAsia" w:ascii="宋体" w:hAnsi="宋体" w:eastAsia="宋体" w:cs="宋体"/>
                <w:b w:val="0"/>
                <w:bCs/>
                <w:color w:val="auto"/>
                <w:kern w:val="0"/>
                <w:sz w:val="24"/>
                <w:szCs w:val="24"/>
                <w:lang w:val="en-US" w:eastAsia="zh-CN" w:bidi="ar-AE"/>
              </w:rPr>
              <w:t>物业管理、</w:t>
            </w:r>
            <w:r>
              <w:rPr>
                <w:rFonts w:hint="eastAsia" w:ascii="宋体" w:hAnsi="宋体" w:eastAsia="宋体" w:cs="宋体"/>
                <w:b w:val="0"/>
                <w:bCs/>
                <w:color w:val="000000"/>
                <w:kern w:val="0"/>
                <w:sz w:val="24"/>
                <w:szCs w:val="24"/>
                <w:lang w:val="en-US" w:eastAsia="zh-CN" w:bidi="ar-AE"/>
              </w:rPr>
              <w:t>市政设施管理、商业综合体管理服务、保安服务等。</w:t>
            </w:r>
          </w:p>
          <w:p w14:paraId="4570D83D">
            <w:pPr>
              <w:pStyle w:val="7"/>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textAlignment w:val="auto"/>
              <w:rPr>
                <w:bCs/>
                <w:color w:val="000000"/>
                <w:sz w:val="24"/>
              </w:rPr>
            </w:pPr>
            <w:r>
              <w:rPr>
                <w:rFonts w:hint="eastAsia" w:ascii="宋体" w:hAnsi="宋体" w:eastAsia="宋体" w:cs="宋体"/>
                <w:b w:val="0"/>
                <w:bCs/>
                <w:color w:val="000000"/>
                <w:kern w:val="0"/>
                <w:sz w:val="24"/>
                <w:szCs w:val="24"/>
                <w:lang w:val="en-US" w:eastAsia="zh-CN" w:bidi="ar-AE"/>
              </w:rPr>
              <w:t>华发物业最终控制人为珠海华发集团有限公司，主要业务为城市运营、</w:t>
            </w:r>
            <w:r>
              <w:rPr>
                <w:rFonts w:hint="eastAsia" w:ascii="宋体" w:hAnsi="宋体" w:cs="宋体"/>
                <w:b w:val="0"/>
                <w:bCs/>
                <w:color w:val="000000"/>
                <w:kern w:val="0"/>
                <w:sz w:val="24"/>
                <w:szCs w:val="24"/>
                <w:lang w:val="en-US" w:eastAsia="zh-CN" w:bidi="ar-AE"/>
              </w:rPr>
              <w:t>房地</w:t>
            </w:r>
            <w:r>
              <w:rPr>
                <w:rFonts w:hint="eastAsia" w:ascii="宋体" w:hAnsi="宋体" w:eastAsia="宋体" w:cs="宋体"/>
                <w:b w:val="0"/>
                <w:bCs/>
                <w:color w:val="000000"/>
                <w:kern w:val="0"/>
                <w:sz w:val="24"/>
                <w:szCs w:val="24"/>
                <w:lang w:val="en-US" w:eastAsia="zh-CN" w:bidi="ar-AE"/>
              </w:rPr>
              <w:t>产开发、金融产业、实业投资、商贸服务等</w:t>
            </w:r>
            <w:r>
              <w:rPr>
                <w:rFonts w:hint="eastAsia" w:ascii="宋体" w:hAnsi="宋体" w:cs="宋体"/>
                <w:b w:val="0"/>
                <w:bCs/>
                <w:color w:val="000000"/>
                <w:kern w:val="0"/>
                <w:sz w:val="24"/>
                <w:szCs w:val="24"/>
                <w:lang w:val="en-US" w:eastAsia="zh-CN" w:bidi="ar-AE"/>
              </w:rPr>
              <w:t>。</w:t>
            </w:r>
          </w:p>
        </w:tc>
      </w:tr>
      <w:tr w14:paraId="4BC6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02A686A2">
            <w:pPr>
              <w:pStyle w:val="7"/>
              <w:widowControl/>
              <w:adjustRightInd w:val="0"/>
              <w:snapToGrid w:val="0"/>
              <w:spacing w:after="0"/>
              <w:jc w:val="center"/>
              <w:rPr>
                <w:bCs/>
                <w:color w:val="000000"/>
                <w:sz w:val="24"/>
              </w:rPr>
            </w:pPr>
          </w:p>
        </w:tc>
        <w:tc>
          <w:tcPr>
            <w:tcW w:w="1476" w:type="dxa"/>
            <w:vAlign w:val="center"/>
          </w:tcPr>
          <w:p w14:paraId="5CC67E04">
            <w:pPr>
              <w:pStyle w:val="7"/>
              <w:widowControl/>
              <w:adjustRightInd w:val="0"/>
              <w:snapToGrid w:val="0"/>
              <w:spacing w:after="0"/>
              <w:rPr>
                <w:rFonts w:hint="eastAsia" w:eastAsia="宋体"/>
                <w:bCs/>
                <w:color w:val="000000"/>
                <w:sz w:val="24"/>
                <w:lang w:eastAsia="zh-CN"/>
              </w:rPr>
            </w:pPr>
            <w:r>
              <w:rPr>
                <w:bCs/>
                <w:color w:val="000000"/>
                <w:sz w:val="24"/>
              </w:rPr>
              <w:t>2.</w:t>
            </w:r>
            <w:r>
              <w:rPr>
                <w:rFonts w:hint="eastAsia" w:ascii="宋体" w:hAnsi="宋体" w:cs="宋体"/>
                <w:b w:val="0"/>
                <w:bCs/>
                <w:color w:val="000000"/>
                <w:kern w:val="0"/>
                <w:sz w:val="24"/>
                <w:szCs w:val="24"/>
                <w:lang w:val="en-US" w:eastAsia="zh-CN" w:bidi="ar-AE"/>
              </w:rPr>
              <w:t>锦江统建</w:t>
            </w:r>
          </w:p>
        </w:tc>
        <w:tc>
          <w:tcPr>
            <w:tcW w:w="6224" w:type="dxa"/>
            <w:vAlign w:val="center"/>
          </w:tcPr>
          <w:p w14:paraId="2E49411B">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rFonts w:hint="eastAsia" w:ascii="宋体" w:hAnsi="宋体" w:cs="宋体"/>
                <w:b w:val="0"/>
                <w:bCs/>
                <w:color w:val="000000"/>
                <w:kern w:val="0"/>
                <w:sz w:val="24"/>
                <w:szCs w:val="24"/>
                <w:lang w:val="en-US" w:eastAsia="zh-CN" w:bidi="ar-AE"/>
              </w:rPr>
            </w:pPr>
            <w:r>
              <w:rPr>
                <w:rFonts w:hint="eastAsia" w:ascii="宋体" w:hAnsi="宋体" w:cs="宋体"/>
                <w:b w:val="0"/>
                <w:bCs/>
                <w:color w:val="000000"/>
                <w:kern w:val="0"/>
                <w:sz w:val="24"/>
                <w:szCs w:val="24"/>
                <w:lang w:val="en-US" w:eastAsia="zh-CN" w:bidi="ar-AE"/>
              </w:rPr>
              <w:t>锦江统建于1996年9月13日成立于四川省成都市，主要业务为房地产开发经营、住房租赁等。</w:t>
            </w:r>
          </w:p>
          <w:p w14:paraId="0366C2B1">
            <w:pPr>
              <w:keepNext w:val="0"/>
              <w:keepLines w:val="0"/>
              <w:pageBreakBefore w:val="0"/>
              <w:widowControl/>
              <w:kinsoku/>
              <w:wordWrap/>
              <w:overflowPunct/>
              <w:topLinePunct w:val="0"/>
              <w:autoSpaceDE/>
              <w:autoSpaceDN/>
              <w:bidi w:val="0"/>
              <w:adjustRightInd w:val="0"/>
              <w:snapToGrid w:val="0"/>
              <w:spacing w:after="0" w:line="240" w:lineRule="auto"/>
              <w:jc w:val="both"/>
              <w:textAlignment w:val="auto"/>
              <w:rPr>
                <w:sz w:val="24"/>
              </w:rPr>
            </w:pPr>
            <w:r>
              <w:rPr>
                <w:rFonts w:hint="eastAsia" w:ascii="宋体" w:hAnsi="宋体" w:cs="宋体"/>
                <w:b w:val="0"/>
                <w:bCs/>
                <w:color w:val="000000"/>
                <w:kern w:val="0"/>
                <w:sz w:val="24"/>
                <w:szCs w:val="24"/>
                <w:lang w:val="en-US" w:eastAsia="zh-CN" w:bidi="ar-AE"/>
              </w:rPr>
              <w:t>锦江统建最终控制人为成都市锦江投资发展集团有限责任公司，主要业务为市政基础设施建设、城市有机更新、片区开发建设等。</w:t>
            </w:r>
          </w:p>
        </w:tc>
      </w:tr>
      <w:tr w14:paraId="0377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178E9DA8">
            <w:pPr>
              <w:pStyle w:val="7"/>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7B6B282E">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1、在同一相关市场，参与集中的经营者所占市场份额之和小于15%。</w:t>
            </w:r>
          </w:p>
        </w:tc>
      </w:tr>
      <w:tr w14:paraId="6D75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3B5739DE">
            <w:pPr>
              <w:pStyle w:val="7"/>
              <w:widowControl/>
              <w:adjustRightInd w:val="0"/>
              <w:snapToGrid w:val="0"/>
              <w:spacing w:after="0"/>
              <w:jc w:val="center"/>
              <w:rPr>
                <w:bCs/>
                <w:color w:val="000000"/>
                <w:sz w:val="24"/>
              </w:rPr>
            </w:pPr>
          </w:p>
        </w:tc>
        <w:tc>
          <w:tcPr>
            <w:tcW w:w="7700" w:type="dxa"/>
            <w:gridSpan w:val="2"/>
            <w:vAlign w:val="center"/>
          </w:tcPr>
          <w:p w14:paraId="623D8A18">
            <w:pPr>
              <w:pStyle w:val="7"/>
              <w:widowControl/>
              <w:adjustRightInd w:val="0"/>
              <w:snapToGrid w:val="0"/>
              <w:spacing w:after="0"/>
              <w:rPr>
                <w:bCs/>
                <w:color w:val="000000"/>
                <w:sz w:val="24"/>
              </w:rPr>
            </w:pPr>
            <w:r>
              <w:rPr>
                <w:bCs/>
                <w:color w:val="000000"/>
                <w:sz w:val="24"/>
              </w:rPr>
              <w:sym w:font="Wingdings" w:char="00FE"/>
            </w:r>
            <w:r>
              <w:rPr>
                <w:bCs/>
                <w:color w:val="000000"/>
                <w:sz w:val="24"/>
              </w:rPr>
              <w:t xml:space="preserve"> 2、在上下游市场，参与集中的经营者所占的市场份额均小于25%。</w:t>
            </w:r>
          </w:p>
        </w:tc>
      </w:tr>
      <w:tr w14:paraId="009C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6A6C77F9">
            <w:pPr>
              <w:pStyle w:val="7"/>
              <w:widowControl/>
              <w:adjustRightInd w:val="0"/>
              <w:snapToGrid w:val="0"/>
              <w:spacing w:after="0"/>
              <w:jc w:val="center"/>
              <w:rPr>
                <w:bCs/>
                <w:color w:val="000000"/>
                <w:sz w:val="24"/>
              </w:rPr>
            </w:pPr>
          </w:p>
        </w:tc>
        <w:tc>
          <w:tcPr>
            <w:tcW w:w="7700" w:type="dxa"/>
            <w:gridSpan w:val="2"/>
            <w:vAlign w:val="center"/>
          </w:tcPr>
          <w:p w14:paraId="211A7D94">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509C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78658A41">
            <w:pPr>
              <w:pStyle w:val="7"/>
              <w:widowControl/>
              <w:adjustRightInd w:val="0"/>
              <w:snapToGrid w:val="0"/>
              <w:spacing w:after="0"/>
              <w:jc w:val="center"/>
              <w:rPr>
                <w:bCs/>
                <w:color w:val="000000"/>
                <w:sz w:val="24"/>
              </w:rPr>
            </w:pPr>
          </w:p>
        </w:tc>
        <w:tc>
          <w:tcPr>
            <w:tcW w:w="7700" w:type="dxa"/>
            <w:gridSpan w:val="2"/>
            <w:vAlign w:val="center"/>
          </w:tcPr>
          <w:p w14:paraId="13420564">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3D12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trPr>
        <w:tc>
          <w:tcPr>
            <w:tcW w:w="1940" w:type="dxa"/>
            <w:vMerge w:val="continue"/>
            <w:shd w:val="clear" w:color="auto" w:fill="D9D9D9"/>
            <w:vAlign w:val="center"/>
          </w:tcPr>
          <w:p w14:paraId="255A0163">
            <w:pPr>
              <w:pStyle w:val="7"/>
              <w:widowControl/>
              <w:adjustRightInd w:val="0"/>
              <w:snapToGrid w:val="0"/>
              <w:spacing w:after="0"/>
              <w:jc w:val="center"/>
              <w:rPr>
                <w:bCs/>
                <w:color w:val="000000"/>
                <w:sz w:val="24"/>
              </w:rPr>
            </w:pPr>
          </w:p>
        </w:tc>
        <w:tc>
          <w:tcPr>
            <w:tcW w:w="7700" w:type="dxa"/>
            <w:gridSpan w:val="2"/>
            <w:vAlign w:val="center"/>
          </w:tcPr>
          <w:p w14:paraId="713691F1">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4805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3A66F7A8">
            <w:pPr>
              <w:pStyle w:val="7"/>
              <w:widowControl/>
              <w:adjustRightInd w:val="0"/>
              <w:snapToGrid w:val="0"/>
              <w:spacing w:after="0"/>
              <w:jc w:val="center"/>
              <w:rPr>
                <w:bCs/>
                <w:color w:val="000000"/>
                <w:sz w:val="24"/>
              </w:rPr>
            </w:pPr>
          </w:p>
        </w:tc>
        <w:tc>
          <w:tcPr>
            <w:tcW w:w="7700" w:type="dxa"/>
            <w:gridSpan w:val="2"/>
            <w:vAlign w:val="center"/>
          </w:tcPr>
          <w:p w14:paraId="5F953709">
            <w:pPr>
              <w:pStyle w:val="7"/>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21DE0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7" w:hRule="atLeast"/>
        </w:trPr>
        <w:tc>
          <w:tcPr>
            <w:tcW w:w="1940" w:type="dxa"/>
            <w:shd w:val="clear" w:color="auto" w:fill="D9D9D9"/>
            <w:vAlign w:val="center"/>
          </w:tcPr>
          <w:p w14:paraId="4CED055D">
            <w:pPr>
              <w:pStyle w:val="7"/>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49B54533">
            <w:pPr>
              <w:pStyle w:val="23"/>
              <w:numPr>
                <w:ilvl w:val="0"/>
                <w:numId w:val="0"/>
              </w:numPr>
              <w:spacing w:after="0"/>
              <w:rPr>
                <w:b/>
                <w:color w:val="auto"/>
                <w:sz w:val="21"/>
                <w:szCs w:val="21"/>
              </w:rPr>
            </w:pPr>
            <w:r>
              <w:rPr>
                <w:rFonts w:hint="eastAsia" w:ascii="宋体" w:hAnsi="宋体" w:eastAsia="宋体" w:cs="宋体"/>
                <w:b/>
                <w:bCs w:val="0"/>
                <w:color w:val="000000"/>
                <w:kern w:val="0"/>
                <w:sz w:val="24"/>
                <w:szCs w:val="24"/>
                <w:lang w:val="en-GB" w:eastAsia="zh-CN" w:bidi="ar-AE"/>
              </w:rPr>
              <w:t>横向重叠</w:t>
            </w:r>
            <w:r>
              <w:rPr>
                <w:rFonts w:hint="eastAsia"/>
                <w:b/>
                <w:color w:val="auto"/>
                <w:sz w:val="21"/>
                <w:szCs w:val="21"/>
              </w:rPr>
              <w:t>：</w:t>
            </w:r>
          </w:p>
          <w:tbl>
            <w:tblPr>
              <w:tblStyle w:val="12"/>
              <w:tblpPr w:leftFromText="180" w:rightFromText="180" w:vertAnchor="text" w:horzAnchor="page" w:tblpX="123" w:tblpY="193"/>
              <w:tblOverlap w:val="never"/>
              <w:tblW w:w="6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1731"/>
              <w:gridCol w:w="3250"/>
            </w:tblGrid>
            <w:tr w14:paraId="2A1000AE">
              <w:tblPrEx>
                <w:tblCellMar>
                  <w:top w:w="0" w:type="dxa"/>
                  <w:left w:w="108" w:type="dxa"/>
                  <w:bottom w:w="0" w:type="dxa"/>
                  <w:right w:w="108" w:type="dxa"/>
                </w:tblCellMar>
              </w:tblPrEx>
              <w:tc>
                <w:tcPr>
                  <w:tcW w:w="2004" w:type="dxa"/>
                  <w:tcBorders>
                    <w:top w:val="single" w:color="auto" w:sz="4" w:space="0"/>
                    <w:left w:val="single" w:color="auto" w:sz="4" w:space="0"/>
                    <w:bottom w:val="single" w:color="auto" w:sz="4" w:space="0"/>
                    <w:right w:val="single" w:color="auto" w:sz="4" w:space="0"/>
                  </w:tcBorders>
                  <w:noWrap w:val="0"/>
                  <w:vAlign w:val="top"/>
                </w:tcPr>
                <w:p w14:paraId="2069526D">
                  <w:pPr>
                    <w:pStyle w:val="25"/>
                    <w:ind w:firstLine="0" w:firstLineChars="0"/>
                    <w:jc w:val="center"/>
                    <w:rPr>
                      <w:color w:val="auto"/>
                      <w:szCs w:val="21"/>
                      <w:highlight w:val="none"/>
                    </w:rPr>
                  </w:pPr>
                  <w:r>
                    <w:rPr>
                      <w:rFonts w:hint="eastAsia"/>
                      <w:color w:val="auto"/>
                      <w:szCs w:val="21"/>
                      <w:highlight w:val="none"/>
                    </w:rPr>
                    <w:t>相关商品市场</w:t>
                  </w:r>
                </w:p>
              </w:tc>
              <w:tc>
                <w:tcPr>
                  <w:tcW w:w="1731" w:type="dxa"/>
                  <w:tcBorders>
                    <w:top w:val="single" w:color="auto" w:sz="4" w:space="0"/>
                    <w:left w:val="single" w:color="auto" w:sz="4" w:space="0"/>
                    <w:bottom w:val="single" w:color="auto" w:sz="4" w:space="0"/>
                    <w:right w:val="single" w:color="auto" w:sz="4" w:space="0"/>
                  </w:tcBorders>
                  <w:noWrap w:val="0"/>
                  <w:vAlign w:val="top"/>
                </w:tcPr>
                <w:p w14:paraId="53C92F99">
                  <w:pPr>
                    <w:pStyle w:val="25"/>
                    <w:ind w:firstLine="0" w:firstLineChars="0"/>
                    <w:jc w:val="center"/>
                    <w:rPr>
                      <w:color w:val="auto"/>
                      <w:szCs w:val="21"/>
                      <w:highlight w:val="none"/>
                    </w:rPr>
                  </w:pPr>
                  <w:r>
                    <w:rPr>
                      <w:rFonts w:hint="eastAsia"/>
                      <w:color w:val="auto"/>
                      <w:szCs w:val="21"/>
                      <w:highlight w:val="none"/>
                    </w:rPr>
                    <w:t>相关地域市场</w:t>
                  </w:r>
                </w:p>
              </w:tc>
              <w:tc>
                <w:tcPr>
                  <w:tcW w:w="3250" w:type="dxa"/>
                  <w:tcBorders>
                    <w:top w:val="single" w:color="auto" w:sz="4" w:space="0"/>
                    <w:left w:val="single" w:color="auto" w:sz="4" w:space="0"/>
                    <w:bottom w:val="single" w:color="auto" w:sz="4" w:space="0"/>
                    <w:right w:val="single" w:color="auto" w:sz="4" w:space="0"/>
                  </w:tcBorders>
                  <w:noWrap w:val="0"/>
                  <w:vAlign w:val="top"/>
                </w:tcPr>
                <w:p w14:paraId="00CB94B6">
                  <w:pPr>
                    <w:pStyle w:val="25"/>
                    <w:ind w:firstLine="0" w:firstLineChars="0"/>
                    <w:jc w:val="center"/>
                    <w:rPr>
                      <w:color w:val="auto"/>
                      <w:szCs w:val="21"/>
                      <w:highlight w:val="none"/>
                    </w:rPr>
                  </w:pPr>
                  <w:r>
                    <w:rPr>
                      <w:rFonts w:hint="eastAsia" w:hAnsi="宋体"/>
                      <w:bCs/>
                      <w:color w:val="auto"/>
                      <w:szCs w:val="21"/>
                      <w:highlight w:val="none"/>
                      <w:lang w:val="en-US" w:eastAsia="zh-CN"/>
                    </w:rPr>
                    <w:t>2024</w:t>
                  </w:r>
                  <w:r>
                    <w:rPr>
                      <w:rFonts w:hint="eastAsia"/>
                      <w:color w:val="auto"/>
                      <w:szCs w:val="21"/>
                      <w:highlight w:val="none"/>
                    </w:rPr>
                    <w:t>年市场份额</w:t>
                  </w:r>
                </w:p>
              </w:tc>
            </w:tr>
            <w:tr w14:paraId="2A64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4" w:type="dxa"/>
                  <w:tcBorders>
                    <w:top w:val="single" w:color="auto" w:sz="4" w:space="0"/>
                    <w:left w:val="single" w:color="auto" w:sz="4" w:space="0"/>
                    <w:bottom w:val="single" w:color="auto" w:sz="4" w:space="0"/>
                    <w:right w:val="single" w:color="auto" w:sz="4" w:space="0"/>
                  </w:tcBorders>
                  <w:noWrap w:val="0"/>
                  <w:vAlign w:val="top"/>
                </w:tcPr>
                <w:p w14:paraId="7B24F12A">
                  <w:pPr>
                    <w:pStyle w:val="25"/>
                    <w:ind w:firstLine="0" w:firstLineChars="0"/>
                    <w:rPr>
                      <w:color w:val="auto"/>
                      <w:szCs w:val="21"/>
                      <w:highlight w:val="none"/>
                    </w:rPr>
                  </w:pPr>
                  <w:r>
                    <w:rPr>
                      <w:rFonts w:hint="eastAsia"/>
                      <w:color w:val="auto"/>
                      <w:szCs w:val="21"/>
                      <w:highlight w:val="none"/>
                    </w:rPr>
                    <w:t>住宅物业管理</w:t>
                  </w:r>
                  <w:r>
                    <w:rPr>
                      <w:rFonts w:hint="eastAsia"/>
                      <w:color w:val="auto"/>
                      <w:szCs w:val="21"/>
                      <w:highlight w:val="none"/>
                      <w:lang w:val="en-US" w:eastAsia="zh-CN"/>
                    </w:rPr>
                    <w:t>服务</w:t>
                  </w:r>
                  <w:r>
                    <w:rPr>
                      <w:rFonts w:hint="eastAsia"/>
                      <w:color w:val="auto"/>
                      <w:szCs w:val="21"/>
                      <w:highlight w:val="none"/>
                    </w:rPr>
                    <w:t>市场</w:t>
                  </w:r>
                </w:p>
              </w:tc>
              <w:tc>
                <w:tcPr>
                  <w:tcW w:w="1731" w:type="dxa"/>
                  <w:tcBorders>
                    <w:top w:val="single" w:color="auto" w:sz="4" w:space="0"/>
                    <w:left w:val="single" w:color="auto" w:sz="4" w:space="0"/>
                    <w:bottom w:val="single" w:color="auto" w:sz="4" w:space="0"/>
                    <w:right w:val="single" w:color="auto" w:sz="4" w:space="0"/>
                  </w:tcBorders>
                  <w:noWrap w:val="0"/>
                  <w:vAlign w:val="top"/>
                </w:tcPr>
                <w:p w14:paraId="1D538275">
                  <w:pPr>
                    <w:pStyle w:val="25"/>
                    <w:ind w:firstLine="0" w:firstLineChars="0"/>
                    <w:rPr>
                      <w:rFonts w:hint="eastAsia" w:eastAsia="宋体"/>
                      <w:color w:val="auto"/>
                      <w:szCs w:val="21"/>
                      <w:highlight w:val="none"/>
                      <w:lang w:eastAsia="zh-CN"/>
                    </w:rPr>
                  </w:pPr>
                  <w:r>
                    <w:rPr>
                      <w:rFonts w:hint="eastAsia"/>
                      <w:color w:val="auto"/>
                      <w:szCs w:val="21"/>
                      <w:highlight w:val="none"/>
                      <w:lang w:val="en-US" w:eastAsia="zh-CN"/>
                    </w:rPr>
                    <w:t>成都市</w:t>
                  </w:r>
                </w:p>
                <w:p w14:paraId="63C82407">
                  <w:pPr>
                    <w:pStyle w:val="25"/>
                    <w:ind w:firstLine="0" w:firstLineChars="0"/>
                    <w:rPr>
                      <w:color w:val="auto"/>
                      <w:szCs w:val="21"/>
                      <w:highlight w:val="none"/>
                    </w:rPr>
                  </w:pPr>
                </w:p>
              </w:tc>
              <w:tc>
                <w:tcPr>
                  <w:tcW w:w="3250" w:type="dxa"/>
                  <w:tcBorders>
                    <w:top w:val="single" w:color="auto" w:sz="4" w:space="0"/>
                    <w:left w:val="single" w:color="auto" w:sz="4" w:space="0"/>
                    <w:bottom w:val="single" w:color="auto" w:sz="4" w:space="0"/>
                    <w:right w:val="single" w:color="auto" w:sz="4" w:space="0"/>
                  </w:tcBorders>
                  <w:noWrap w:val="0"/>
                  <w:vAlign w:val="top"/>
                </w:tcPr>
                <w:p w14:paraId="009E6378">
                  <w:pPr>
                    <w:pStyle w:val="25"/>
                    <w:ind w:firstLine="0" w:firstLineChars="0"/>
                    <w:rPr>
                      <w:rFonts w:hint="eastAsia"/>
                      <w:color w:val="auto"/>
                      <w:szCs w:val="21"/>
                      <w:highlight w:val="none"/>
                    </w:rPr>
                  </w:pPr>
                  <w:r>
                    <w:rPr>
                      <w:rFonts w:hint="eastAsia"/>
                      <w:color w:val="auto"/>
                      <w:szCs w:val="21"/>
                      <w:highlight w:val="none"/>
                      <w:lang w:val="en-US" w:eastAsia="zh-CN"/>
                    </w:rPr>
                    <w:t>华发物业</w:t>
                  </w:r>
                  <w:r>
                    <w:rPr>
                      <w:rFonts w:hint="eastAsia"/>
                      <w:color w:val="auto"/>
                      <w:szCs w:val="21"/>
                      <w:highlight w:val="none"/>
                    </w:rPr>
                    <w:t>：0~5%</w:t>
                  </w:r>
                </w:p>
                <w:p w14:paraId="58ECE790">
                  <w:pPr>
                    <w:pStyle w:val="25"/>
                    <w:ind w:firstLine="0" w:firstLineChars="0"/>
                    <w:rPr>
                      <w:rFonts w:hint="eastAsia"/>
                      <w:color w:val="auto"/>
                      <w:szCs w:val="21"/>
                      <w:highlight w:val="none"/>
                      <w:lang w:val="en-US" w:eastAsia="zh-CN"/>
                    </w:rPr>
                  </w:pPr>
                  <w:r>
                    <w:rPr>
                      <w:rFonts w:hint="eastAsia"/>
                      <w:color w:val="auto"/>
                      <w:szCs w:val="21"/>
                      <w:highlight w:val="none"/>
                      <w:lang w:val="en-US" w:eastAsia="zh-CN"/>
                    </w:rPr>
                    <w:t>合营企业：</w:t>
                  </w:r>
                  <w:r>
                    <w:rPr>
                      <w:rFonts w:hint="eastAsia"/>
                      <w:color w:val="auto"/>
                      <w:szCs w:val="21"/>
                      <w:highlight w:val="none"/>
                    </w:rPr>
                    <w:t>0~5%</w:t>
                  </w:r>
                </w:p>
                <w:p w14:paraId="47BF2D36">
                  <w:pPr>
                    <w:pStyle w:val="25"/>
                    <w:ind w:firstLine="0" w:firstLineChars="0"/>
                    <w:rPr>
                      <w:rFonts w:hint="default"/>
                      <w:color w:val="auto"/>
                      <w:szCs w:val="21"/>
                      <w:highlight w:val="none"/>
                      <w:lang w:val="en-US" w:eastAsia="zh-CN"/>
                    </w:rPr>
                  </w:pPr>
                  <w:r>
                    <w:rPr>
                      <w:rFonts w:hint="eastAsia"/>
                      <w:color w:val="auto"/>
                      <w:szCs w:val="21"/>
                      <w:highlight w:val="none"/>
                      <w:lang w:val="en-US" w:eastAsia="zh-CN"/>
                    </w:rPr>
                    <w:t>各方合计：</w:t>
                  </w:r>
                  <w:r>
                    <w:rPr>
                      <w:rFonts w:hint="eastAsia"/>
                      <w:color w:val="auto"/>
                      <w:szCs w:val="21"/>
                      <w:highlight w:val="none"/>
                    </w:rPr>
                    <w:t>0~5%</w:t>
                  </w:r>
                </w:p>
              </w:tc>
            </w:tr>
            <w:tr w14:paraId="4442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4" w:type="dxa"/>
                  <w:tcBorders>
                    <w:top w:val="single" w:color="auto" w:sz="4" w:space="0"/>
                    <w:left w:val="single" w:color="auto" w:sz="4" w:space="0"/>
                    <w:bottom w:val="single" w:color="auto" w:sz="4" w:space="0"/>
                    <w:right w:val="single" w:color="auto" w:sz="4" w:space="0"/>
                  </w:tcBorders>
                  <w:noWrap w:val="0"/>
                  <w:vAlign w:val="top"/>
                </w:tcPr>
                <w:p w14:paraId="7CE3771E">
                  <w:pPr>
                    <w:pStyle w:val="25"/>
                    <w:ind w:firstLine="0" w:firstLineChars="0"/>
                    <w:rPr>
                      <w:color w:val="auto"/>
                      <w:szCs w:val="21"/>
                      <w:highlight w:val="none"/>
                    </w:rPr>
                  </w:pPr>
                  <w:r>
                    <w:rPr>
                      <w:rFonts w:hint="eastAsia"/>
                      <w:color w:val="auto"/>
                      <w:szCs w:val="21"/>
                      <w:highlight w:val="none"/>
                    </w:rPr>
                    <w:t>商品住宅房地产开发</w:t>
                  </w:r>
                  <w:r>
                    <w:rPr>
                      <w:rFonts w:hint="eastAsia"/>
                      <w:color w:val="auto"/>
                      <w:szCs w:val="21"/>
                      <w:highlight w:val="none"/>
                      <w:lang w:val="en-US" w:eastAsia="zh-CN"/>
                    </w:rPr>
                    <w:t>和销售</w:t>
                  </w:r>
                  <w:r>
                    <w:rPr>
                      <w:rFonts w:hint="eastAsia"/>
                      <w:color w:val="auto"/>
                      <w:szCs w:val="21"/>
                      <w:highlight w:val="none"/>
                    </w:rPr>
                    <w:t>市场</w:t>
                  </w:r>
                </w:p>
                <w:p w14:paraId="1EBF46A3">
                  <w:pPr>
                    <w:pStyle w:val="25"/>
                    <w:ind w:firstLine="0" w:firstLineChars="0"/>
                    <w:rPr>
                      <w:rFonts w:hint="eastAsia"/>
                      <w:color w:val="auto"/>
                      <w:szCs w:val="21"/>
                      <w:highlight w:val="none"/>
                    </w:rPr>
                  </w:pPr>
                </w:p>
              </w:tc>
              <w:tc>
                <w:tcPr>
                  <w:tcW w:w="1731" w:type="dxa"/>
                  <w:tcBorders>
                    <w:top w:val="single" w:color="auto" w:sz="4" w:space="0"/>
                    <w:left w:val="single" w:color="auto" w:sz="4" w:space="0"/>
                    <w:bottom w:val="single" w:color="auto" w:sz="4" w:space="0"/>
                    <w:right w:val="single" w:color="auto" w:sz="4" w:space="0"/>
                  </w:tcBorders>
                  <w:noWrap w:val="0"/>
                  <w:vAlign w:val="top"/>
                </w:tcPr>
                <w:p w14:paraId="44EC8B3B">
                  <w:pPr>
                    <w:pStyle w:val="25"/>
                    <w:ind w:firstLine="0" w:firstLineChars="0"/>
                    <w:rPr>
                      <w:rFonts w:hint="eastAsia"/>
                      <w:color w:val="auto"/>
                      <w:szCs w:val="21"/>
                      <w:highlight w:val="none"/>
                    </w:rPr>
                  </w:pPr>
                  <w:r>
                    <w:rPr>
                      <w:rFonts w:hint="eastAsia"/>
                      <w:color w:val="auto"/>
                      <w:szCs w:val="21"/>
                      <w:highlight w:val="none"/>
                      <w:lang w:val="en-US" w:eastAsia="zh-CN"/>
                    </w:rPr>
                    <w:t>成都市</w:t>
                  </w:r>
                </w:p>
              </w:tc>
              <w:tc>
                <w:tcPr>
                  <w:tcW w:w="3250" w:type="dxa"/>
                  <w:tcBorders>
                    <w:top w:val="single" w:color="auto" w:sz="4" w:space="0"/>
                    <w:left w:val="single" w:color="auto" w:sz="4" w:space="0"/>
                    <w:bottom w:val="single" w:color="auto" w:sz="4" w:space="0"/>
                    <w:right w:val="single" w:color="auto" w:sz="4" w:space="0"/>
                  </w:tcBorders>
                  <w:noWrap w:val="0"/>
                  <w:vAlign w:val="top"/>
                </w:tcPr>
                <w:p w14:paraId="65C51980">
                  <w:pPr>
                    <w:pStyle w:val="25"/>
                    <w:ind w:firstLine="0" w:firstLineChars="0"/>
                    <w:rPr>
                      <w:rFonts w:hint="eastAsia"/>
                      <w:color w:val="auto"/>
                      <w:szCs w:val="21"/>
                      <w:highlight w:val="none"/>
                    </w:rPr>
                  </w:pPr>
                  <w:r>
                    <w:rPr>
                      <w:rFonts w:hint="eastAsia"/>
                      <w:color w:val="auto"/>
                      <w:szCs w:val="21"/>
                      <w:highlight w:val="none"/>
                      <w:lang w:val="en-US" w:eastAsia="zh-CN"/>
                    </w:rPr>
                    <w:t>华发物业</w:t>
                  </w:r>
                  <w:r>
                    <w:rPr>
                      <w:rFonts w:hint="eastAsia"/>
                      <w:color w:val="auto"/>
                      <w:szCs w:val="21"/>
                      <w:highlight w:val="none"/>
                    </w:rPr>
                    <w:t>：</w:t>
                  </w:r>
                  <w:r>
                    <w:rPr>
                      <w:rFonts w:hint="eastAsia"/>
                      <w:color w:val="auto"/>
                      <w:szCs w:val="21"/>
                      <w:highlight w:val="none"/>
                      <w:lang w:val="en-US" w:eastAsia="zh-CN"/>
                    </w:rPr>
                    <w:t>5</w:t>
                  </w:r>
                  <w:r>
                    <w:rPr>
                      <w:rFonts w:hint="eastAsia"/>
                      <w:color w:val="auto"/>
                      <w:szCs w:val="21"/>
                      <w:highlight w:val="none"/>
                    </w:rPr>
                    <w:t>~</w:t>
                  </w:r>
                  <w:r>
                    <w:rPr>
                      <w:rFonts w:hint="eastAsia"/>
                      <w:color w:val="auto"/>
                      <w:szCs w:val="21"/>
                      <w:highlight w:val="none"/>
                      <w:lang w:val="en-US" w:eastAsia="zh-CN"/>
                    </w:rPr>
                    <w:t>10</w:t>
                  </w:r>
                  <w:r>
                    <w:rPr>
                      <w:rFonts w:hint="eastAsia"/>
                      <w:color w:val="auto"/>
                      <w:szCs w:val="21"/>
                      <w:highlight w:val="none"/>
                    </w:rPr>
                    <w:t>%</w:t>
                  </w:r>
                </w:p>
                <w:p w14:paraId="75822932">
                  <w:pPr>
                    <w:pStyle w:val="25"/>
                    <w:ind w:firstLine="0" w:firstLineChars="0"/>
                    <w:rPr>
                      <w:color w:val="auto"/>
                      <w:szCs w:val="21"/>
                      <w:highlight w:val="none"/>
                    </w:rPr>
                  </w:pPr>
                  <w:r>
                    <w:rPr>
                      <w:rFonts w:hint="eastAsia"/>
                      <w:color w:val="auto"/>
                      <w:szCs w:val="21"/>
                      <w:highlight w:val="none"/>
                    </w:rPr>
                    <w:t>锦江统建：</w:t>
                  </w:r>
                  <w:r>
                    <w:rPr>
                      <w:rFonts w:hint="eastAsia"/>
                      <w:color w:val="auto"/>
                      <w:szCs w:val="21"/>
                      <w:highlight w:val="none"/>
                      <w:lang w:val="en-US" w:eastAsia="zh-CN"/>
                    </w:rPr>
                    <w:t>5</w:t>
                  </w:r>
                  <w:r>
                    <w:rPr>
                      <w:rFonts w:hint="eastAsia"/>
                      <w:color w:val="auto"/>
                      <w:szCs w:val="21"/>
                      <w:highlight w:val="none"/>
                    </w:rPr>
                    <w:t>~</w:t>
                  </w:r>
                  <w:r>
                    <w:rPr>
                      <w:rFonts w:hint="eastAsia"/>
                      <w:color w:val="auto"/>
                      <w:szCs w:val="21"/>
                      <w:highlight w:val="none"/>
                      <w:lang w:val="en-US" w:eastAsia="zh-CN"/>
                    </w:rPr>
                    <w:t>10</w:t>
                  </w:r>
                  <w:r>
                    <w:rPr>
                      <w:rFonts w:hint="eastAsia"/>
                      <w:color w:val="auto"/>
                      <w:szCs w:val="21"/>
                      <w:highlight w:val="none"/>
                    </w:rPr>
                    <w:t>%</w:t>
                  </w:r>
                </w:p>
                <w:p w14:paraId="4F1075A5">
                  <w:pPr>
                    <w:pStyle w:val="25"/>
                    <w:ind w:firstLine="0" w:firstLineChars="0"/>
                    <w:rPr>
                      <w:rFonts w:hint="eastAsia"/>
                      <w:color w:val="auto"/>
                      <w:szCs w:val="21"/>
                      <w:highlight w:val="none"/>
                      <w:lang w:val="en-US" w:eastAsia="zh-CN"/>
                    </w:rPr>
                  </w:pPr>
                  <w:r>
                    <w:rPr>
                      <w:rFonts w:hint="eastAsia"/>
                      <w:color w:val="auto"/>
                      <w:szCs w:val="21"/>
                      <w:highlight w:val="none"/>
                      <w:lang w:val="en-US" w:eastAsia="zh-CN"/>
                    </w:rPr>
                    <w:t>各方合计：10</w:t>
                  </w:r>
                  <w:r>
                    <w:rPr>
                      <w:rFonts w:hint="eastAsia"/>
                      <w:color w:val="auto"/>
                      <w:szCs w:val="21"/>
                      <w:highlight w:val="none"/>
                    </w:rPr>
                    <w:t>~</w:t>
                  </w:r>
                  <w:r>
                    <w:rPr>
                      <w:rFonts w:hint="eastAsia"/>
                      <w:color w:val="auto"/>
                      <w:szCs w:val="21"/>
                      <w:highlight w:val="none"/>
                      <w:lang w:val="en-US" w:eastAsia="zh-CN"/>
                    </w:rPr>
                    <w:t>1</w:t>
                  </w:r>
                  <w:r>
                    <w:rPr>
                      <w:rFonts w:hint="eastAsia"/>
                      <w:color w:val="auto"/>
                      <w:szCs w:val="21"/>
                      <w:highlight w:val="none"/>
                    </w:rPr>
                    <w:t>5%</w:t>
                  </w:r>
                </w:p>
              </w:tc>
            </w:tr>
          </w:tbl>
          <w:p w14:paraId="6F4316F7">
            <w:pPr>
              <w:pStyle w:val="23"/>
              <w:numPr>
                <w:ilvl w:val="0"/>
                <w:numId w:val="0"/>
              </w:numPr>
              <w:spacing w:after="0"/>
              <w:rPr>
                <w:b/>
                <w:color w:val="auto"/>
                <w:sz w:val="21"/>
                <w:szCs w:val="21"/>
              </w:rPr>
            </w:pPr>
            <w:r>
              <w:rPr>
                <w:rFonts w:hint="eastAsia"/>
                <w:b/>
                <w:color w:val="auto"/>
                <w:sz w:val="21"/>
                <w:szCs w:val="21"/>
                <w:lang w:val="en-US" w:eastAsia="zh-CN"/>
              </w:rPr>
              <w:t>纵向关联</w:t>
            </w:r>
            <w:r>
              <w:rPr>
                <w:rFonts w:hint="eastAsia"/>
                <w:b/>
                <w:color w:val="auto"/>
                <w:sz w:val="21"/>
                <w:szCs w:val="21"/>
              </w:rPr>
              <w:t>：</w:t>
            </w:r>
          </w:p>
          <w:tbl>
            <w:tblPr>
              <w:tblStyle w:val="12"/>
              <w:tblpPr w:leftFromText="180" w:rightFromText="180" w:vertAnchor="text" w:horzAnchor="page" w:tblpX="123" w:tblpY="193"/>
              <w:tblOverlap w:val="never"/>
              <w:tblW w:w="6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4"/>
              <w:gridCol w:w="1731"/>
              <w:gridCol w:w="3250"/>
            </w:tblGrid>
            <w:tr w14:paraId="3926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4" w:type="dxa"/>
                  <w:tcBorders>
                    <w:top w:val="single" w:color="auto" w:sz="4" w:space="0"/>
                    <w:left w:val="single" w:color="auto" w:sz="4" w:space="0"/>
                    <w:bottom w:val="single" w:color="auto" w:sz="4" w:space="0"/>
                    <w:right w:val="single" w:color="auto" w:sz="4" w:space="0"/>
                  </w:tcBorders>
                  <w:noWrap w:val="0"/>
                  <w:vAlign w:val="top"/>
                </w:tcPr>
                <w:p w14:paraId="54814304">
                  <w:pPr>
                    <w:pStyle w:val="25"/>
                    <w:ind w:firstLine="0" w:firstLineChars="0"/>
                    <w:jc w:val="center"/>
                    <w:rPr>
                      <w:color w:val="auto"/>
                      <w:szCs w:val="21"/>
                    </w:rPr>
                  </w:pPr>
                  <w:r>
                    <w:rPr>
                      <w:rFonts w:hint="eastAsia"/>
                      <w:color w:val="auto"/>
                      <w:szCs w:val="21"/>
                    </w:rPr>
                    <w:t>相关商品市场</w:t>
                  </w:r>
                </w:p>
              </w:tc>
              <w:tc>
                <w:tcPr>
                  <w:tcW w:w="1731" w:type="dxa"/>
                  <w:tcBorders>
                    <w:top w:val="single" w:color="auto" w:sz="4" w:space="0"/>
                    <w:left w:val="single" w:color="auto" w:sz="4" w:space="0"/>
                    <w:bottom w:val="single" w:color="auto" w:sz="4" w:space="0"/>
                    <w:right w:val="single" w:color="auto" w:sz="4" w:space="0"/>
                  </w:tcBorders>
                  <w:noWrap w:val="0"/>
                  <w:vAlign w:val="top"/>
                </w:tcPr>
                <w:p w14:paraId="77CE5A74">
                  <w:pPr>
                    <w:pStyle w:val="25"/>
                    <w:ind w:firstLine="0" w:firstLineChars="0"/>
                    <w:jc w:val="center"/>
                    <w:rPr>
                      <w:color w:val="auto"/>
                      <w:szCs w:val="21"/>
                    </w:rPr>
                  </w:pPr>
                  <w:r>
                    <w:rPr>
                      <w:rFonts w:hint="eastAsia"/>
                      <w:color w:val="auto"/>
                      <w:szCs w:val="21"/>
                    </w:rPr>
                    <w:t>相关地域市场</w:t>
                  </w:r>
                </w:p>
              </w:tc>
              <w:tc>
                <w:tcPr>
                  <w:tcW w:w="3250" w:type="dxa"/>
                  <w:tcBorders>
                    <w:top w:val="single" w:color="auto" w:sz="4" w:space="0"/>
                    <w:left w:val="single" w:color="auto" w:sz="4" w:space="0"/>
                    <w:bottom w:val="single" w:color="auto" w:sz="4" w:space="0"/>
                    <w:right w:val="single" w:color="auto" w:sz="4" w:space="0"/>
                  </w:tcBorders>
                  <w:noWrap w:val="0"/>
                  <w:vAlign w:val="top"/>
                </w:tcPr>
                <w:p w14:paraId="4E0258A0">
                  <w:pPr>
                    <w:pStyle w:val="25"/>
                    <w:ind w:firstLine="0" w:firstLineChars="0"/>
                    <w:jc w:val="center"/>
                    <w:rPr>
                      <w:color w:val="auto"/>
                      <w:szCs w:val="21"/>
                    </w:rPr>
                  </w:pPr>
                  <w:r>
                    <w:rPr>
                      <w:rFonts w:hint="eastAsia" w:hAnsi="宋体"/>
                      <w:bCs/>
                      <w:color w:val="auto"/>
                      <w:szCs w:val="21"/>
                      <w:lang w:val="en-US" w:eastAsia="zh-CN"/>
                    </w:rPr>
                    <w:t>2024</w:t>
                  </w:r>
                  <w:r>
                    <w:rPr>
                      <w:rFonts w:hint="eastAsia"/>
                      <w:color w:val="auto"/>
                      <w:szCs w:val="21"/>
                    </w:rPr>
                    <w:t>年市场份额</w:t>
                  </w:r>
                </w:p>
              </w:tc>
            </w:tr>
            <w:tr w14:paraId="67F6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04" w:type="dxa"/>
                  <w:tcBorders>
                    <w:top w:val="single" w:color="auto" w:sz="4" w:space="0"/>
                    <w:left w:val="single" w:color="auto" w:sz="4" w:space="0"/>
                    <w:bottom w:val="single" w:color="auto" w:sz="4" w:space="0"/>
                    <w:right w:val="single" w:color="auto" w:sz="4" w:space="0"/>
                  </w:tcBorders>
                  <w:noWrap w:val="0"/>
                  <w:vAlign w:val="top"/>
                </w:tcPr>
                <w:p w14:paraId="04A493BA">
                  <w:pPr>
                    <w:pStyle w:val="25"/>
                    <w:ind w:firstLine="0" w:firstLineChars="0"/>
                    <w:rPr>
                      <w:color w:val="auto"/>
                      <w:szCs w:val="21"/>
                    </w:rPr>
                  </w:pPr>
                  <w:r>
                    <w:rPr>
                      <w:rFonts w:hint="eastAsia"/>
                      <w:color w:val="auto"/>
                      <w:szCs w:val="21"/>
                    </w:rPr>
                    <w:t>上游：住宅物业管理</w:t>
                  </w:r>
                  <w:r>
                    <w:rPr>
                      <w:rFonts w:hint="eastAsia"/>
                      <w:color w:val="auto"/>
                      <w:szCs w:val="21"/>
                      <w:lang w:val="en-US" w:eastAsia="zh-CN"/>
                    </w:rPr>
                    <w:t>服务</w:t>
                  </w:r>
                  <w:r>
                    <w:rPr>
                      <w:rFonts w:hint="eastAsia"/>
                      <w:color w:val="auto"/>
                      <w:szCs w:val="21"/>
                    </w:rPr>
                    <w:t>市场</w:t>
                  </w:r>
                </w:p>
                <w:p w14:paraId="06810076">
                  <w:pPr>
                    <w:pStyle w:val="25"/>
                    <w:ind w:firstLine="0" w:firstLineChars="0"/>
                    <w:rPr>
                      <w:color w:val="auto"/>
                      <w:szCs w:val="21"/>
                    </w:rPr>
                  </w:pPr>
                  <w:r>
                    <w:rPr>
                      <w:rFonts w:hint="eastAsia"/>
                      <w:color w:val="auto"/>
                      <w:szCs w:val="21"/>
                    </w:rPr>
                    <w:t>下游：商品住宅房地产开发</w:t>
                  </w:r>
                  <w:r>
                    <w:rPr>
                      <w:rFonts w:hint="eastAsia"/>
                      <w:color w:val="auto"/>
                      <w:szCs w:val="21"/>
                      <w:lang w:val="en-US" w:eastAsia="zh-CN"/>
                    </w:rPr>
                    <w:t>和销售</w:t>
                  </w:r>
                  <w:r>
                    <w:rPr>
                      <w:rFonts w:hint="eastAsia"/>
                      <w:color w:val="auto"/>
                      <w:szCs w:val="21"/>
                    </w:rPr>
                    <w:t>市场</w:t>
                  </w:r>
                </w:p>
              </w:tc>
              <w:tc>
                <w:tcPr>
                  <w:tcW w:w="1731" w:type="dxa"/>
                  <w:tcBorders>
                    <w:top w:val="single" w:color="auto" w:sz="4" w:space="0"/>
                    <w:left w:val="single" w:color="auto" w:sz="4" w:space="0"/>
                    <w:bottom w:val="single" w:color="auto" w:sz="4" w:space="0"/>
                    <w:right w:val="single" w:color="auto" w:sz="4" w:space="0"/>
                  </w:tcBorders>
                  <w:noWrap w:val="0"/>
                  <w:vAlign w:val="top"/>
                </w:tcPr>
                <w:p w14:paraId="394C28E3">
                  <w:pPr>
                    <w:pStyle w:val="25"/>
                    <w:ind w:firstLine="0" w:firstLineChars="0"/>
                    <w:rPr>
                      <w:rFonts w:hint="eastAsia" w:eastAsia="宋体"/>
                      <w:color w:val="auto"/>
                      <w:szCs w:val="21"/>
                      <w:lang w:eastAsia="zh-CN"/>
                    </w:rPr>
                  </w:pPr>
                  <w:r>
                    <w:rPr>
                      <w:rFonts w:hint="eastAsia"/>
                      <w:color w:val="auto"/>
                      <w:szCs w:val="21"/>
                    </w:rPr>
                    <w:t>上游：</w:t>
                  </w:r>
                  <w:r>
                    <w:rPr>
                      <w:rFonts w:hint="eastAsia"/>
                      <w:color w:val="auto"/>
                      <w:szCs w:val="21"/>
                      <w:lang w:val="en-US" w:eastAsia="zh-CN"/>
                    </w:rPr>
                    <w:t>成都市</w:t>
                  </w:r>
                </w:p>
                <w:p w14:paraId="7C5013E0">
                  <w:pPr>
                    <w:pStyle w:val="25"/>
                    <w:ind w:firstLine="0" w:firstLineChars="0"/>
                    <w:rPr>
                      <w:color w:val="auto"/>
                      <w:szCs w:val="21"/>
                    </w:rPr>
                  </w:pPr>
                  <w:r>
                    <w:rPr>
                      <w:rFonts w:hint="eastAsia"/>
                      <w:color w:val="auto"/>
                      <w:szCs w:val="21"/>
                    </w:rPr>
                    <w:t>下游：</w:t>
                  </w:r>
                  <w:r>
                    <w:rPr>
                      <w:rFonts w:hint="eastAsia"/>
                      <w:color w:val="auto"/>
                      <w:szCs w:val="21"/>
                      <w:lang w:val="en-US" w:eastAsia="zh-CN"/>
                    </w:rPr>
                    <w:t>成都市</w:t>
                  </w:r>
                </w:p>
              </w:tc>
              <w:tc>
                <w:tcPr>
                  <w:tcW w:w="3250" w:type="dxa"/>
                  <w:tcBorders>
                    <w:top w:val="single" w:color="auto" w:sz="4" w:space="0"/>
                    <w:left w:val="single" w:color="auto" w:sz="4" w:space="0"/>
                    <w:bottom w:val="single" w:color="auto" w:sz="4" w:space="0"/>
                    <w:right w:val="single" w:color="auto" w:sz="4" w:space="0"/>
                  </w:tcBorders>
                  <w:noWrap w:val="0"/>
                  <w:vAlign w:val="top"/>
                </w:tcPr>
                <w:p w14:paraId="6E5C50DF">
                  <w:pPr>
                    <w:pStyle w:val="25"/>
                    <w:ind w:firstLine="0" w:firstLineChars="0"/>
                    <w:rPr>
                      <w:rFonts w:hint="default" w:eastAsia="宋体"/>
                      <w:color w:val="auto"/>
                      <w:szCs w:val="21"/>
                      <w:highlight w:val="none"/>
                      <w:lang w:val="en-US" w:eastAsia="zh-CN"/>
                    </w:rPr>
                  </w:pPr>
                  <w:r>
                    <w:rPr>
                      <w:rFonts w:hint="eastAsia"/>
                      <w:color w:val="auto"/>
                      <w:szCs w:val="21"/>
                      <w:highlight w:val="none"/>
                    </w:rPr>
                    <w:t>上游：</w:t>
                  </w:r>
                  <w:r>
                    <w:rPr>
                      <w:rFonts w:hint="eastAsia"/>
                      <w:color w:val="auto"/>
                      <w:szCs w:val="21"/>
                      <w:highlight w:val="none"/>
                      <w:lang w:val="en-US" w:eastAsia="zh-CN"/>
                    </w:rPr>
                    <w:t>如上所述</w:t>
                  </w:r>
                </w:p>
                <w:p w14:paraId="0270FE2C">
                  <w:pPr>
                    <w:pStyle w:val="25"/>
                    <w:ind w:firstLine="0" w:firstLineChars="0"/>
                    <w:rPr>
                      <w:rFonts w:hint="default" w:eastAsia="宋体"/>
                      <w:color w:val="auto"/>
                      <w:szCs w:val="21"/>
                      <w:lang w:val="en-US" w:eastAsia="zh-CN"/>
                    </w:rPr>
                  </w:pPr>
                  <w:r>
                    <w:rPr>
                      <w:rFonts w:hint="eastAsia"/>
                      <w:color w:val="auto"/>
                      <w:szCs w:val="21"/>
                      <w:highlight w:val="none"/>
                    </w:rPr>
                    <w:t>下游：</w:t>
                  </w:r>
                  <w:r>
                    <w:rPr>
                      <w:rFonts w:hint="eastAsia"/>
                      <w:color w:val="auto"/>
                      <w:szCs w:val="21"/>
                      <w:highlight w:val="none"/>
                      <w:lang w:val="en-US" w:eastAsia="zh-CN"/>
                    </w:rPr>
                    <w:t>如上所述</w:t>
                  </w:r>
                </w:p>
              </w:tc>
            </w:tr>
          </w:tbl>
          <w:p w14:paraId="23F0AB59">
            <w:pPr>
              <w:pStyle w:val="7"/>
              <w:widowControl/>
              <w:adjustRightInd w:val="0"/>
              <w:snapToGrid w:val="0"/>
              <w:spacing w:after="0"/>
              <w:rPr>
                <w:bCs/>
                <w:color w:val="000000"/>
                <w:sz w:val="24"/>
              </w:rPr>
            </w:pPr>
          </w:p>
        </w:tc>
      </w:tr>
    </w:tbl>
    <w:p w14:paraId="5A623C0E">
      <w:pPr>
        <w:pStyle w:val="7"/>
        <w:widowControl/>
        <w:adjustRightInd w:val="0"/>
        <w:snapToGrid w:val="0"/>
        <w:spacing w:after="0"/>
        <w:jc w:val="both"/>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Simplified Arabic">
    <w:altName w:val="Times New Roman"/>
    <w:panose1 w:val="02020603050405020304"/>
    <w:charset w:val="B2"/>
    <w:family w:val="roman"/>
    <w:pitch w:val="default"/>
    <w:sig w:usb0="00000000" w:usb1="00000000" w:usb2="00000000" w:usb3="00000000" w:csb0="00000041" w:csb1="2008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733A5F"/>
    <w:multiLevelType w:val="multilevel"/>
    <w:tmpl w:val="4B733A5F"/>
    <w:lvl w:ilvl="0" w:tentative="0">
      <w:start w:val="1"/>
      <w:numFmt w:val="decimal"/>
      <w:pStyle w:val="23"/>
      <w:suff w:val="nothing"/>
      <w:lvlText w:val="示例%1："/>
      <w:lvlJc w:val="left"/>
      <w:pPr>
        <w:ind w:left="0" w:firstLine="363"/>
      </w:pPr>
      <w:rPr>
        <w:rFonts w:hint="default" w:ascii="黑体" w:eastAsia="黑体"/>
        <w:b w:val="0"/>
        <w:i w:val="0"/>
        <w:sz w:val="20"/>
        <w:szCs w:val="21"/>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1676"/>
    <w:rsid w:val="00244DF9"/>
    <w:rsid w:val="00284710"/>
    <w:rsid w:val="00303ED8"/>
    <w:rsid w:val="00316BA9"/>
    <w:rsid w:val="00332EAC"/>
    <w:rsid w:val="00346B84"/>
    <w:rsid w:val="00367A54"/>
    <w:rsid w:val="004514D5"/>
    <w:rsid w:val="0047564A"/>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9B27A3"/>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511F7"/>
    <w:rsid w:val="00E80370"/>
    <w:rsid w:val="00EC650F"/>
    <w:rsid w:val="00F6252F"/>
    <w:rsid w:val="00F63099"/>
    <w:rsid w:val="00F653DE"/>
    <w:rsid w:val="00F7053E"/>
    <w:rsid w:val="00F80A9D"/>
    <w:rsid w:val="00F90810"/>
    <w:rsid w:val="00F971F1"/>
    <w:rsid w:val="00FD5EA5"/>
    <w:rsid w:val="00FF42DD"/>
    <w:rsid w:val="01087875"/>
    <w:rsid w:val="011DF4EB"/>
    <w:rsid w:val="01AB455E"/>
    <w:rsid w:val="01AE6412"/>
    <w:rsid w:val="01B165CE"/>
    <w:rsid w:val="01DA5C5E"/>
    <w:rsid w:val="020779C8"/>
    <w:rsid w:val="0217304F"/>
    <w:rsid w:val="02515359"/>
    <w:rsid w:val="02E16CA8"/>
    <w:rsid w:val="02F70103"/>
    <w:rsid w:val="030806B1"/>
    <w:rsid w:val="03483348"/>
    <w:rsid w:val="03490091"/>
    <w:rsid w:val="03D70EC9"/>
    <w:rsid w:val="04B425C4"/>
    <w:rsid w:val="04B85AFF"/>
    <w:rsid w:val="05AB50DB"/>
    <w:rsid w:val="06075F29"/>
    <w:rsid w:val="06EB8C2A"/>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740D41"/>
    <w:rsid w:val="12ED74AA"/>
    <w:rsid w:val="130B6D76"/>
    <w:rsid w:val="131E7C21"/>
    <w:rsid w:val="13236AF1"/>
    <w:rsid w:val="13D6674E"/>
    <w:rsid w:val="1437543F"/>
    <w:rsid w:val="147D797B"/>
    <w:rsid w:val="148B0637"/>
    <w:rsid w:val="150C1E94"/>
    <w:rsid w:val="15D94F21"/>
    <w:rsid w:val="15E47716"/>
    <w:rsid w:val="164E6A70"/>
    <w:rsid w:val="1680064E"/>
    <w:rsid w:val="170576D4"/>
    <w:rsid w:val="17436509"/>
    <w:rsid w:val="182A3BC2"/>
    <w:rsid w:val="19533EE7"/>
    <w:rsid w:val="19646C36"/>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9F7E38"/>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5E292B"/>
    <w:rsid w:val="27B435B3"/>
    <w:rsid w:val="27CC09EF"/>
    <w:rsid w:val="27ED6C10"/>
    <w:rsid w:val="27FF1E56"/>
    <w:rsid w:val="281C288D"/>
    <w:rsid w:val="283265FA"/>
    <w:rsid w:val="28361ADD"/>
    <w:rsid w:val="289A6D28"/>
    <w:rsid w:val="29826D04"/>
    <w:rsid w:val="2A0C211C"/>
    <w:rsid w:val="2A60184B"/>
    <w:rsid w:val="2AA41F53"/>
    <w:rsid w:val="2AF55222"/>
    <w:rsid w:val="2B163BA8"/>
    <w:rsid w:val="2B795B9C"/>
    <w:rsid w:val="2C0A4D8F"/>
    <w:rsid w:val="2C0C7CCC"/>
    <w:rsid w:val="2C7F14E7"/>
    <w:rsid w:val="2CAC25FF"/>
    <w:rsid w:val="2D0217A7"/>
    <w:rsid w:val="2D123945"/>
    <w:rsid w:val="2D522E91"/>
    <w:rsid w:val="2DA7BB6E"/>
    <w:rsid w:val="2DE926AB"/>
    <w:rsid w:val="2DFF8C0F"/>
    <w:rsid w:val="2ECF569F"/>
    <w:rsid w:val="2F0902B7"/>
    <w:rsid w:val="2FD63906"/>
    <w:rsid w:val="2FEDBF98"/>
    <w:rsid w:val="2FF78668"/>
    <w:rsid w:val="301601A6"/>
    <w:rsid w:val="3025112D"/>
    <w:rsid w:val="306F1D95"/>
    <w:rsid w:val="31687D65"/>
    <w:rsid w:val="319E78FD"/>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42FA2"/>
    <w:rsid w:val="3BFE8C88"/>
    <w:rsid w:val="3C1B3849"/>
    <w:rsid w:val="3C5203FE"/>
    <w:rsid w:val="3C772AD5"/>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E193B"/>
    <w:rsid w:val="3EFF0DF0"/>
    <w:rsid w:val="3F642A87"/>
    <w:rsid w:val="3F7F6751"/>
    <w:rsid w:val="3FB6105D"/>
    <w:rsid w:val="3FCA68C5"/>
    <w:rsid w:val="3FDF1F7E"/>
    <w:rsid w:val="3FF1EAFD"/>
    <w:rsid w:val="3FFE2424"/>
    <w:rsid w:val="3FFF34CA"/>
    <w:rsid w:val="3FFFF255"/>
    <w:rsid w:val="3FFFF7A9"/>
    <w:rsid w:val="40454BCA"/>
    <w:rsid w:val="40D7777E"/>
    <w:rsid w:val="40E3190E"/>
    <w:rsid w:val="4129118D"/>
    <w:rsid w:val="41D779C0"/>
    <w:rsid w:val="436E421B"/>
    <w:rsid w:val="43D81ACB"/>
    <w:rsid w:val="43E353FE"/>
    <w:rsid w:val="443B7D84"/>
    <w:rsid w:val="44D85FC0"/>
    <w:rsid w:val="44EF696F"/>
    <w:rsid w:val="45A801C9"/>
    <w:rsid w:val="45E92E66"/>
    <w:rsid w:val="463C27E0"/>
    <w:rsid w:val="46845245"/>
    <w:rsid w:val="46F216C3"/>
    <w:rsid w:val="47226FD9"/>
    <w:rsid w:val="47D723DD"/>
    <w:rsid w:val="48247180"/>
    <w:rsid w:val="48567BBA"/>
    <w:rsid w:val="48604985"/>
    <w:rsid w:val="48C332AF"/>
    <w:rsid w:val="48DB4B1D"/>
    <w:rsid w:val="48FE2C64"/>
    <w:rsid w:val="4935600E"/>
    <w:rsid w:val="49857111"/>
    <w:rsid w:val="498A72A0"/>
    <w:rsid w:val="4A280DAA"/>
    <w:rsid w:val="4B44740D"/>
    <w:rsid w:val="4BDF45AE"/>
    <w:rsid w:val="4BED5B46"/>
    <w:rsid w:val="4C824703"/>
    <w:rsid w:val="4CC01CF8"/>
    <w:rsid w:val="4CFD75DE"/>
    <w:rsid w:val="4D022B50"/>
    <w:rsid w:val="4D533669"/>
    <w:rsid w:val="4D611881"/>
    <w:rsid w:val="4D7CF346"/>
    <w:rsid w:val="4D8A03D2"/>
    <w:rsid w:val="4DB67BAD"/>
    <w:rsid w:val="4DBF710D"/>
    <w:rsid w:val="4E037B64"/>
    <w:rsid w:val="4E585190"/>
    <w:rsid w:val="4E626EA5"/>
    <w:rsid w:val="4F7D0643"/>
    <w:rsid w:val="4FF2DB67"/>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ABCF35"/>
    <w:rsid w:val="55F5B344"/>
    <w:rsid w:val="55FF4F39"/>
    <w:rsid w:val="563C0C84"/>
    <w:rsid w:val="567C47AD"/>
    <w:rsid w:val="568C7EFA"/>
    <w:rsid w:val="569C2904"/>
    <w:rsid w:val="56FC7623"/>
    <w:rsid w:val="5721053D"/>
    <w:rsid w:val="57472441"/>
    <w:rsid w:val="578A511D"/>
    <w:rsid w:val="57F473E9"/>
    <w:rsid w:val="587873A1"/>
    <w:rsid w:val="59206465"/>
    <w:rsid w:val="59927FEE"/>
    <w:rsid w:val="599B7F54"/>
    <w:rsid w:val="59D80FE8"/>
    <w:rsid w:val="5A320350"/>
    <w:rsid w:val="5A4E1134"/>
    <w:rsid w:val="5A8F5421"/>
    <w:rsid w:val="5AAB1367"/>
    <w:rsid w:val="5AB377AC"/>
    <w:rsid w:val="5AD242B6"/>
    <w:rsid w:val="5ADB7A9F"/>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EE8CE"/>
    <w:rsid w:val="5EFFEB53"/>
    <w:rsid w:val="5F3A59C0"/>
    <w:rsid w:val="5F3C2655"/>
    <w:rsid w:val="5F4C72AD"/>
    <w:rsid w:val="5F5B3889"/>
    <w:rsid w:val="5F7404E1"/>
    <w:rsid w:val="5FB58CB9"/>
    <w:rsid w:val="5FB66C17"/>
    <w:rsid w:val="5FCE1ACE"/>
    <w:rsid w:val="5FD337B9"/>
    <w:rsid w:val="5FDBF934"/>
    <w:rsid w:val="5FDD3B5D"/>
    <w:rsid w:val="5FDD699A"/>
    <w:rsid w:val="5FEF6B7F"/>
    <w:rsid w:val="5FF69754"/>
    <w:rsid w:val="5FFD1057"/>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1C6E33"/>
    <w:rsid w:val="685D233B"/>
    <w:rsid w:val="68E175B6"/>
    <w:rsid w:val="68ED6FEF"/>
    <w:rsid w:val="69140A20"/>
    <w:rsid w:val="6978328D"/>
    <w:rsid w:val="69C0748D"/>
    <w:rsid w:val="6A0942FC"/>
    <w:rsid w:val="6A7D30C3"/>
    <w:rsid w:val="6ABB6FCD"/>
    <w:rsid w:val="6AD438DD"/>
    <w:rsid w:val="6AED643D"/>
    <w:rsid w:val="6AFF300A"/>
    <w:rsid w:val="6B2D0068"/>
    <w:rsid w:val="6B5CFEDC"/>
    <w:rsid w:val="6B9261CD"/>
    <w:rsid w:val="6B935AA5"/>
    <w:rsid w:val="6B9A71CB"/>
    <w:rsid w:val="6BB3C2CA"/>
    <w:rsid w:val="6BCB1BF4"/>
    <w:rsid w:val="6BCC0CB3"/>
    <w:rsid w:val="6BDED2CF"/>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954194"/>
    <w:rsid w:val="6EBE3907"/>
    <w:rsid w:val="6F538C10"/>
    <w:rsid w:val="6F6E1640"/>
    <w:rsid w:val="6FAD6E24"/>
    <w:rsid w:val="6FB7F940"/>
    <w:rsid w:val="6FC1631A"/>
    <w:rsid w:val="6FDF5799"/>
    <w:rsid w:val="6FE85134"/>
    <w:rsid w:val="6FEFA4E2"/>
    <w:rsid w:val="6FF7091D"/>
    <w:rsid w:val="6FFB3825"/>
    <w:rsid w:val="6FFDD266"/>
    <w:rsid w:val="706C5090"/>
    <w:rsid w:val="710A7485"/>
    <w:rsid w:val="71394751"/>
    <w:rsid w:val="71402523"/>
    <w:rsid w:val="71EE19CF"/>
    <w:rsid w:val="72131803"/>
    <w:rsid w:val="723024E6"/>
    <w:rsid w:val="72777687"/>
    <w:rsid w:val="73026B48"/>
    <w:rsid w:val="735D723C"/>
    <w:rsid w:val="7377A20D"/>
    <w:rsid w:val="737A6056"/>
    <w:rsid w:val="737FE4CC"/>
    <w:rsid w:val="7447B6BF"/>
    <w:rsid w:val="74566BED"/>
    <w:rsid w:val="74771EBA"/>
    <w:rsid w:val="74CE550B"/>
    <w:rsid w:val="74E476E3"/>
    <w:rsid w:val="74FA9F2D"/>
    <w:rsid w:val="751B0A84"/>
    <w:rsid w:val="752B15CB"/>
    <w:rsid w:val="755F49C7"/>
    <w:rsid w:val="756F7C99"/>
    <w:rsid w:val="75A34AC0"/>
    <w:rsid w:val="75BA7893"/>
    <w:rsid w:val="75FD2329"/>
    <w:rsid w:val="75FE8BDD"/>
    <w:rsid w:val="763FAA27"/>
    <w:rsid w:val="765FAA54"/>
    <w:rsid w:val="767FE0B3"/>
    <w:rsid w:val="76AFBFF1"/>
    <w:rsid w:val="76BF73B6"/>
    <w:rsid w:val="76CA40F3"/>
    <w:rsid w:val="76D3A759"/>
    <w:rsid w:val="77496BC0"/>
    <w:rsid w:val="77527FDF"/>
    <w:rsid w:val="775E8BC6"/>
    <w:rsid w:val="775F275F"/>
    <w:rsid w:val="777BD1C3"/>
    <w:rsid w:val="777D1E86"/>
    <w:rsid w:val="777FCD8F"/>
    <w:rsid w:val="77960090"/>
    <w:rsid w:val="77A0AA49"/>
    <w:rsid w:val="77AFF4F6"/>
    <w:rsid w:val="77AFF73C"/>
    <w:rsid w:val="77D96E3F"/>
    <w:rsid w:val="77DFDD5B"/>
    <w:rsid w:val="77E6E8CB"/>
    <w:rsid w:val="77FB42A6"/>
    <w:rsid w:val="77FBAA8E"/>
    <w:rsid w:val="77FF6A8C"/>
    <w:rsid w:val="77FF8866"/>
    <w:rsid w:val="77FFCFC3"/>
    <w:rsid w:val="77FFEFDF"/>
    <w:rsid w:val="78410251"/>
    <w:rsid w:val="789D5404"/>
    <w:rsid w:val="78FE68D5"/>
    <w:rsid w:val="793FB7A1"/>
    <w:rsid w:val="79EC0BFB"/>
    <w:rsid w:val="79FA9BCD"/>
    <w:rsid w:val="7A66B182"/>
    <w:rsid w:val="7A9C06E1"/>
    <w:rsid w:val="7AB91678"/>
    <w:rsid w:val="7AF72C92"/>
    <w:rsid w:val="7B534FF9"/>
    <w:rsid w:val="7B7B414A"/>
    <w:rsid w:val="7B8F578C"/>
    <w:rsid w:val="7B9A66EF"/>
    <w:rsid w:val="7BAB6FC2"/>
    <w:rsid w:val="7BD6EBF8"/>
    <w:rsid w:val="7BE411F0"/>
    <w:rsid w:val="7BE78EC0"/>
    <w:rsid w:val="7BFBEA34"/>
    <w:rsid w:val="7BFD7C4E"/>
    <w:rsid w:val="7BFDD557"/>
    <w:rsid w:val="7BFFD823"/>
    <w:rsid w:val="7BFFE06B"/>
    <w:rsid w:val="7BFFE7AB"/>
    <w:rsid w:val="7C235B45"/>
    <w:rsid w:val="7C3D2845"/>
    <w:rsid w:val="7C5D2D50"/>
    <w:rsid w:val="7C7918BC"/>
    <w:rsid w:val="7CBEF0D0"/>
    <w:rsid w:val="7CCB66D7"/>
    <w:rsid w:val="7CFFE32C"/>
    <w:rsid w:val="7D6F58DB"/>
    <w:rsid w:val="7DBFEE7D"/>
    <w:rsid w:val="7DCE664D"/>
    <w:rsid w:val="7DDC0FE0"/>
    <w:rsid w:val="7DDFC877"/>
    <w:rsid w:val="7E9DA405"/>
    <w:rsid w:val="7EBEB929"/>
    <w:rsid w:val="7ED6B717"/>
    <w:rsid w:val="7EE72273"/>
    <w:rsid w:val="7EEB5729"/>
    <w:rsid w:val="7EF16FA7"/>
    <w:rsid w:val="7EF7CDD2"/>
    <w:rsid w:val="7EFF73B1"/>
    <w:rsid w:val="7F23145A"/>
    <w:rsid w:val="7F3EBECF"/>
    <w:rsid w:val="7F543923"/>
    <w:rsid w:val="7F7BEB9D"/>
    <w:rsid w:val="7F7E0F79"/>
    <w:rsid w:val="7F7F4275"/>
    <w:rsid w:val="7F9E584B"/>
    <w:rsid w:val="7F9F8D24"/>
    <w:rsid w:val="7FB70FD4"/>
    <w:rsid w:val="7FBBC276"/>
    <w:rsid w:val="7FBBDAF9"/>
    <w:rsid w:val="7FBF09DE"/>
    <w:rsid w:val="7FBF2495"/>
    <w:rsid w:val="7FD59461"/>
    <w:rsid w:val="7FDBE98D"/>
    <w:rsid w:val="7FDCAB43"/>
    <w:rsid w:val="7FE15510"/>
    <w:rsid w:val="7FE91E78"/>
    <w:rsid w:val="7FEB3232"/>
    <w:rsid w:val="7FF3DAB9"/>
    <w:rsid w:val="7FF500C7"/>
    <w:rsid w:val="7FFBA8A6"/>
    <w:rsid w:val="7FFDE69B"/>
    <w:rsid w:val="7FFF79FA"/>
    <w:rsid w:val="8A379C7D"/>
    <w:rsid w:val="8AD7B623"/>
    <w:rsid w:val="8D7FD0F6"/>
    <w:rsid w:val="8DF8C568"/>
    <w:rsid w:val="8FFF05EE"/>
    <w:rsid w:val="97C7A0C4"/>
    <w:rsid w:val="9B3165F2"/>
    <w:rsid w:val="9BFF3CF8"/>
    <w:rsid w:val="9CBD0B1A"/>
    <w:rsid w:val="9CE361F9"/>
    <w:rsid w:val="9CF59A21"/>
    <w:rsid w:val="9D7F0CB7"/>
    <w:rsid w:val="9DEFBA4D"/>
    <w:rsid w:val="9EF781DE"/>
    <w:rsid w:val="9F67B1E1"/>
    <w:rsid w:val="9F920F21"/>
    <w:rsid w:val="A7F9C1DE"/>
    <w:rsid w:val="A9AD231D"/>
    <w:rsid w:val="ADFAC79E"/>
    <w:rsid w:val="AE7E1E17"/>
    <w:rsid w:val="AFC56981"/>
    <w:rsid w:val="B32F9DC2"/>
    <w:rsid w:val="B4FDB160"/>
    <w:rsid w:val="B593FB7D"/>
    <w:rsid w:val="B75FE11F"/>
    <w:rsid w:val="B77B2A12"/>
    <w:rsid w:val="B9B92832"/>
    <w:rsid w:val="BAED78C7"/>
    <w:rsid w:val="BBEF9792"/>
    <w:rsid w:val="BBF7C791"/>
    <w:rsid w:val="BCB7048F"/>
    <w:rsid w:val="BCF89F06"/>
    <w:rsid w:val="BD0F8C47"/>
    <w:rsid w:val="BEAF73DD"/>
    <w:rsid w:val="BEEE2B94"/>
    <w:rsid w:val="BF3E17A4"/>
    <w:rsid w:val="BF4F4689"/>
    <w:rsid w:val="BF8E36EE"/>
    <w:rsid w:val="BFAF0BB7"/>
    <w:rsid w:val="BFDF612A"/>
    <w:rsid w:val="BFDFB85E"/>
    <w:rsid w:val="BFEDABFC"/>
    <w:rsid w:val="BFEF0D5B"/>
    <w:rsid w:val="BFF739EC"/>
    <w:rsid w:val="BFF7D663"/>
    <w:rsid w:val="BFFD7287"/>
    <w:rsid w:val="BFFF84B7"/>
    <w:rsid w:val="C3F5BA26"/>
    <w:rsid w:val="CAFFD068"/>
    <w:rsid w:val="CB6F7EC5"/>
    <w:rsid w:val="CB7D0B2D"/>
    <w:rsid w:val="CB9C4B68"/>
    <w:rsid w:val="CD7F54D6"/>
    <w:rsid w:val="CDCB4AA8"/>
    <w:rsid w:val="CDDEA08E"/>
    <w:rsid w:val="CEFF7CED"/>
    <w:rsid w:val="CF7F6B7D"/>
    <w:rsid w:val="CFF64343"/>
    <w:rsid w:val="D3F22235"/>
    <w:rsid w:val="D49B5E3D"/>
    <w:rsid w:val="D5B58DC7"/>
    <w:rsid w:val="D5DB8D8A"/>
    <w:rsid w:val="D7E88F55"/>
    <w:rsid w:val="DB33A89B"/>
    <w:rsid w:val="DBF2E9D5"/>
    <w:rsid w:val="DBF3BC9D"/>
    <w:rsid w:val="DD4D51D5"/>
    <w:rsid w:val="DDA91EB6"/>
    <w:rsid w:val="DDAF5738"/>
    <w:rsid w:val="DDBE5093"/>
    <w:rsid w:val="DDDE42F9"/>
    <w:rsid w:val="DDEFBA43"/>
    <w:rsid w:val="DDEFC054"/>
    <w:rsid w:val="DE6F6814"/>
    <w:rsid w:val="DE871169"/>
    <w:rsid w:val="DEAFB90F"/>
    <w:rsid w:val="DEFB0BFE"/>
    <w:rsid w:val="DF21B821"/>
    <w:rsid w:val="DFAF05F1"/>
    <w:rsid w:val="DFBFBE16"/>
    <w:rsid w:val="DFD76A11"/>
    <w:rsid w:val="DFE797EB"/>
    <w:rsid w:val="DFEFC715"/>
    <w:rsid w:val="DFFF4786"/>
    <w:rsid w:val="E1B76C47"/>
    <w:rsid w:val="E3FE57E7"/>
    <w:rsid w:val="E5BFBEBC"/>
    <w:rsid w:val="E6B7D24D"/>
    <w:rsid w:val="E6F77E68"/>
    <w:rsid w:val="E7BDE424"/>
    <w:rsid w:val="E7FF3C97"/>
    <w:rsid w:val="E7FFE685"/>
    <w:rsid w:val="E8D79DF8"/>
    <w:rsid w:val="E97F9658"/>
    <w:rsid w:val="E9F71F09"/>
    <w:rsid w:val="E9F7D881"/>
    <w:rsid w:val="E9FF86BC"/>
    <w:rsid w:val="EAFD8D58"/>
    <w:rsid w:val="EB6C770B"/>
    <w:rsid w:val="EB7DD7C9"/>
    <w:rsid w:val="EBCD181E"/>
    <w:rsid w:val="EBDB640E"/>
    <w:rsid w:val="EBFF7898"/>
    <w:rsid w:val="ECFF1072"/>
    <w:rsid w:val="ED9DB8D5"/>
    <w:rsid w:val="EDDB1346"/>
    <w:rsid w:val="EDF3771B"/>
    <w:rsid w:val="EDFF0807"/>
    <w:rsid w:val="EDFF9922"/>
    <w:rsid w:val="EEC40EE9"/>
    <w:rsid w:val="EEFD57A8"/>
    <w:rsid w:val="EF7B63E3"/>
    <w:rsid w:val="EF7F4E2A"/>
    <w:rsid w:val="EF7F9BE8"/>
    <w:rsid w:val="EFC62B3A"/>
    <w:rsid w:val="EFCDBC8D"/>
    <w:rsid w:val="EFFF0144"/>
    <w:rsid w:val="EFFFDD70"/>
    <w:rsid w:val="F1B778F1"/>
    <w:rsid w:val="F3FF743F"/>
    <w:rsid w:val="F4FF55F7"/>
    <w:rsid w:val="F5F7F5CB"/>
    <w:rsid w:val="F5F97876"/>
    <w:rsid w:val="F6654662"/>
    <w:rsid w:val="F76CF7E9"/>
    <w:rsid w:val="F7B75D8A"/>
    <w:rsid w:val="F7CFBA4D"/>
    <w:rsid w:val="F7DA6E98"/>
    <w:rsid w:val="F7DDD9EA"/>
    <w:rsid w:val="F7E39E90"/>
    <w:rsid w:val="F7EFF966"/>
    <w:rsid w:val="F7FD911C"/>
    <w:rsid w:val="F8EE49FF"/>
    <w:rsid w:val="F93B5AA6"/>
    <w:rsid w:val="F94C48A0"/>
    <w:rsid w:val="F9DF2CA6"/>
    <w:rsid w:val="F9E8B31E"/>
    <w:rsid w:val="F9EB3C24"/>
    <w:rsid w:val="FB3326CC"/>
    <w:rsid w:val="FB9F5A91"/>
    <w:rsid w:val="FB9FDE2D"/>
    <w:rsid w:val="FBCE4D19"/>
    <w:rsid w:val="FBDBEF41"/>
    <w:rsid w:val="FBFD1159"/>
    <w:rsid w:val="FBFE1D07"/>
    <w:rsid w:val="FBFF5E75"/>
    <w:rsid w:val="FCAB2178"/>
    <w:rsid w:val="FCFFC232"/>
    <w:rsid w:val="FD4FEBD9"/>
    <w:rsid w:val="FD6F06FA"/>
    <w:rsid w:val="FD7DE192"/>
    <w:rsid w:val="FDBF10AA"/>
    <w:rsid w:val="FDBF3869"/>
    <w:rsid w:val="FDBFFDC9"/>
    <w:rsid w:val="FDC957A0"/>
    <w:rsid w:val="FDD466DA"/>
    <w:rsid w:val="FDD6A258"/>
    <w:rsid w:val="FDFBDE23"/>
    <w:rsid w:val="FDFE7162"/>
    <w:rsid w:val="FDFF8E6F"/>
    <w:rsid w:val="FE4F1E64"/>
    <w:rsid w:val="FE5FA0A2"/>
    <w:rsid w:val="FEAEC70B"/>
    <w:rsid w:val="FEBD1401"/>
    <w:rsid w:val="FEE78FD0"/>
    <w:rsid w:val="FEF339DB"/>
    <w:rsid w:val="FEFB2882"/>
    <w:rsid w:val="FEFD2C3B"/>
    <w:rsid w:val="FF57FBD6"/>
    <w:rsid w:val="FF5F2CB5"/>
    <w:rsid w:val="FF5FC2B3"/>
    <w:rsid w:val="FF7645E0"/>
    <w:rsid w:val="FFB70466"/>
    <w:rsid w:val="FFBC3961"/>
    <w:rsid w:val="FFCF003E"/>
    <w:rsid w:val="FFEE6CF6"/>
    <w:rsid w:val="FFEF9B99"/>
    <w:rsid w:val="FFF7BE83"/>
    <w:rsid w:val="FFF854DA"/>
    <w:rsid w:val="FFFD3239"/>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 w:type="paragraph" w:customStyle="1" w:styleId="23">
    <w:name w:val="标准文件_示例×："/>
    <w:basedOn w:val="1"/>
    <w:next w:val="24"/>
    <w:qFormat/>
    <w:uiPriority w:val="0"/>
    <w:pPr>
      <w:widowControl/>
      <w:numPr>
        <w:ilvl w:val="0"/>
        <w:numId w:val="1"/>
      </w:numPr>
      <w:adjustRightInd/>
      <w:spacing w:line="240" w:lineRule="auto"/>
    </w:pPr>
    <w:rPr>
      <w:rFonts w:ascii="宋体" w:hAnsi="Times New Roman"/>
      <w:kern w:val="0"/>
      <w:sz w:val="18"/>
      <w:szCs w:val="18"/>
    </w:rPr>
  </w:style>
  <w:style w:type="paragraph" w:customStyle="1" w:styleId="24">
    <w:name w:val="标准文件_示例内容"/>
    <w:basedOn w:val="25"/>
    <w:qFormat/>
    <w:uiPriority w:val="0"/>
    <w:rPr>
      <w:sz w:val="18"/>
    </w:rPr>
  </w:style>
  <w:style w:type="paragraph" w:customStyle="1" w:styleId="25">
    <w:name w:val="标准文件_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其他省直机关单位</Company>
  <Pages>2</Pages>
  <Words>840</Words>
  <Characters>891</Characters>
  <Lines>116</Lines>
  <Paragraphs>97</Paragraphs>
  <TotalTime>4</TotalTime>
  <ScaleCrop>false</ScaleCrop>
  <LinksUpToDate>false</LinksUpToDate>
  <CharactersWithSpaces>897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2025-03-16T09:36:00Z</dcterms:created>
  <dc:creator>张斌（反垄断处）</dc:creator>
  <cp:lastModifiedBy>解迎祥律师</cp:lastModifiedBy>
  <cp:lastPrinted>2026-04-22T09:19:00Z</cp:lastPrinted>
  <dcterms:modified xsi:type="dcterms:W3CDTF">2026-05-13T08:31:40Z</dcterms:modified>
  <dc:title>关于经营者集中反垄断审查案件</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13EF5C3EE03D417BBC31240FE16F79D8_13</vt:lpwstr>
  </property>
  <property fmtid="{D5CDD505-2E9C-101B-9397-08002B2CF9AE}" pid="4" name="KSOTemplateDocerSaveRecord">
    <vt:lpwstr>eyJoZGlkIjoiZTg5YTFmN2NmY2JmNjQ1MTc3OWJkNWFlMjRhYmUxNDIiLCJ1c2VySWQiOiIzNTgwMzg5ODgifQ==</vt:lpwstr>
  </property>
</Properties>
</file>