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B1EA0">
      <w:pPr>
        <w:widowControl/>
        <w:spacing w:after="240"/>
        <w:jc w:val="center"/>
        <w:rPr>
          <w:rFonts w:hint="eastAsia" w:ascii="黑体" w:hAnsi="黑体" w:eastAsia="黑体" w:cs="黑体"/>
          <w:bCs/>
          <w:kern w:val="0"/>
          <w:sz w:val="44"/>
          <w:szCs w:val="44"/>
          <w:lang w:val="en-GB" w:bidi="ar-AE"/>
        </w:rPr>
      </w:pPr>
      <w:bookmarkStart w:id="0" w:name="_GoBack"/>
      <w:bookmarkEnd w:id="0"/>
      <w:r>
        <w:rPr>
          <w:rFonts w:hint="eastAsia" w:ascii="黑体" w:hAnsi="黑体" w:eastAsia="黑体" w:cs="黑体"/>
          <w:bCs/>
          <w:kern w:val="0"/>
          <w:sz w:val="44"/>
          <w:szCs w:val="44"/>
          <w:lang w:val="en-GB" w:bidi="ar-AE"/>
        </w:rPr>
        <w:t>经营者集中简易案件公示表</w:t>
      </w:r>
    </w:p>
    <w:tbl>
      <w:tblPr>
        <w:tblStyle w:val="10"/>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57"/>
        <w:gridCol w:w="6243"/>
      </w:tblGrid>
      <w:tr w14:paraId="1CC1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5BEEC373">
            <w:pPr>
              <w:pStyle w:val="5"/>
              <w:adjustRightInd w:val="0"/>
              <w:snapToGrid w:val="0"/>
              <w:spacing w:after="0" w:line="320" w:lineRule="exact"/>
              <w:jc w:val="center"/>
              <w:rPr>
                <w:rFonts w:hint="eastAsia" w:ascii="宋体" w:hAnsi="宋体" w:cs="宋体"/>
                <w:bCs/>
                <w:color w:val="000000"/>
                <w:sz w:val="24"/>
              </w:rPr>
            </w:pPr>
            <w:r>
              <w:rPr>
                <w:rFonts w:hint="eastAsia" w:ascii="宋体" w:hAnsi="宋体" w:cs="宋体"/>
                <w:bCs/>
                <w:color w:val="000000"/>
                <w:sz w:val="24"/>
              </w:rPr>
              <w:t>案件名称</w:t>
            </w:r>
          </w:p>
        </w:tc>
        <w:tc>
          <w:tcPr>
            <w:tcW w:w="7700" w:type="dxa"/>
            <w:gridSpan w:val="2"/>
            <w:vAlign w:val="center"/>
          </w:tcPr>
          <w:p w14:paraId="2CF0A576">
            <w:pPr>
              <w:adjustRightInd w:val="0"/>
              <w:snapToGrid w:val="0"/>
              <w:spacing w:after="0" w:line="320" w:lineRule="exact"/>
              <w:rPr>
                <w:rFonts w:hint="eastAsia" w:ascii="宋体" w:hAnsi="宋体" w:cs="宋体"/>
                <w:bCs/>
                <w:color w:val="000000"/>
                <w:sz w:val="24"/>
              </w:rPr>
            </w:pPr>
            <w:r>
              <w:rPr>
                <w:rFonts w:hint="eastAsia" w:ascii="宋体" w:hAnsi="宋体" w:cs="宋体"/>
                <w:sz w:val="24"/>
              </w:rPr>
              <w:t>广西国控资本运营集团有限责任公司收购柳州两面针股份有限公司股权案</w:t>
            </w:r>
          </w:p>
        </w:tc>
      </w:tr>
      <w:tr w14:paraId="39C89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jc w:val="center"/>
        </w:trPr>
        <w:tc>
          <w:tcPr>
            <w:tcW w:w="1940" w:type="dxa"/>
            <w:shd w:val="clear" w:color="auto" w:fill="D9D9D9"/>
            <w:vAlign w:val="center"/>
          </w:tcPr>
          <w:p w14:paraId="5AE7B20F">
            <w:pPr>
              <w:pStyle w:val="5"/>
              <w:adjustRightInd w:val="0"/>
              <w:snapToGrid w:val="0"/>
              <w:spacing w:after="0" w:line="320" w:lineRule="exact"/>
              <w:jc w:val="center"/>
              <w:rPr>
                <w:rFonts w:hint="eastAsia" w:ascii="宋体" w:hAnsi="宋体" w:cs="宋体"/>
                <w:bCs/>
                <w:color w:val="000000"/>
                <w:sz w:val="24"/>
              </w:rPr>
            </w:pPr>
            <w:r>
              <w:rPr>
                <w:rFonts w:hint="eastAsia" w:ascii="宋体" w:hAnsi="宋体" w:cs="宋体"/>
                <w:bCs/>
                <w:color w:val="000000"/>
                <w:sz w:val="24"/>
              </w:rPr>
              <w:t>交易概况（限200字内）</w:t>
            </w:r>
          </w:p>
        </w:tc>
        <w:tc>
          <w:tcPr>
            <w:tcW w:w="7700" w:type="dxa"/>
            <w:gridSpan w:val="2"/>
            <w:vAlign w:val="center"/>
          </w:tcPr>
          <w:p w14:paraId="2A4F5387">
            <w:pPr>
              <w:snapToGrid w:val="0"/>
              <w:spacing w:after="0" w:line="320" w:lineRule="exact"/>
              <w:ind w:firstLine="480" w:firstLineChars="200"/>
              <w:rPr>
                <w:rFonts w:hint="eastAsia" w:ascii="宋体" w:hAnsi="宋体" w:cs="宋体"/>
                <w:sz w:val="24"/>
              </w:rPr>
            </w:pPr>
            <w:r>
              <w:rPr>
                <w:rFonts w:hint="eastAsia" w:ascii="宋体" w:hAnsi="宋体" w:cs="宋体"/>
                <w:sz w:val="24"/>
              </w:rPr>
              <w:t>广西国控资本运营集团有限公司（“广西国控”）与广西柳州市产业投资发展集团有限公司（“柳州产投”）、柳州市经发投资有限责任公司等签署协议，广西国控拟收购柳州两面针股份有限公司（“柳州两面针”）28%股份。柳州两面针主要从事日化用品及医药生产销售业务。交易前，柳州产投持有两面针33.34%股份，单独控制柳州两面针。交易后，广西国控将持有柳州两面针28.00%股份，单独控制柳州两面针。</w:t>
            </w:r>
          </w:p>
        </w:tc>
      </w:tr>
      <w:tr w14:paraId="3E43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14:paraId="01CCB214">
            <w:pPr>
              <w:pStyle w:val="5"/>
              <w:adjustRightInd w:val="0"/>
              <w:snapToGrid w:val="0"/>
              <w:spacing w:after="0" w:line="320" w:lineRule="exact"/>
              <w:jc w:val="center"/>
              <w:rPr>
                <w:rFonts w:hint="eastAsia" w:ascii="宋体" w:hAnsi="宋体" w:cs="宋体"/>
                <w:bCs/>
                <w:color w:val="000000"/>
                <w:sz w:val="24"/>
              </w:rPr>
            </w:pPr>
            <w:r>
              <w:rPr>
                <w:rFonts w:hint="eastAsia" w:ascii="宋体" w:hAnsi="宋体" w:cs="宋体"/>
                <w:bCs/>
                <w:color w:val="000000"/>
                <w:sz w:val="24"/>
              </w:rPr>
              <w:t>参与集中的经营者简介（每个限100字以内）</w:t>
            </w:r>
          </w:p>
        </w:tc>
        <w:tc>
          <w:tcPr>
            <w:tcW w:w="1457" w:type="dxa"/>
            <w:vAlign w:val="center"/>
          </w:tcPr>
          <w:p w14:paraId="4C492E6A">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t>1.广西国控</w:t>
            </w:r>
          </w:p>
        </w:tc>
        <w:tc>
          <w:tcPr>
            <w:tcW w:w="6243" w:type="dxa"/>
            <w:vAlign w:val="center"/>
          </w:tcPr>
          <w:p w14:paraId="6A2DAA76">
            <w:pPr>
              <w:adjustRightInd w:val="0"/>
              <w:snapToGrid w:val="0"/>
              <w:spacing w:after="0" w:line="320" w:lineRule="exact"/>
              <w:ind w:firstLine="480" w:firstLineChars="200"/>
              <w:rPr>
                <w:rFonts w:hint="eastAsia" w:ascii="宋体" w:hAnsi="宋体" w:cs="宋体"/>
                <w:bCs/>
                <w:color w:val="000000"/>
                <w:sz w:val="24"/>
              </w:rPr>
            </w:pPr>
            <w:r>
              <w:rPr>
                <w:rFonts w:hint="eastAsia" w:ascii="宋体" w:hAnsi="宋体" w:cs="宋体"/>
                <w:bCs/>
                <w:color w:val="000000"/>
                <w:sz w:val="24"/>
              </w:rPr>
              <w:t>广西国控于1997年10月15日成立于广西南宁市，主要业务为现代农业投资、工业机械及汽车制造生产、国有资本运营及国有资产管理、工业园区开发及销售运营等。</w:t>
            </w:r>
          </w:p>
          <w:p w14:paraId="5FF67A75">
            <w:pPr>
              <w:adjustRightInd w:val="0"/>
              <w:snapToGrid w:val="0"/>
              <w:spacing w:after="0" w:line="320" w:lineRule="exact"/>
              <w:ind w:firstLine="480" w:firstLineChars="200"/>
              <w:rPr>
                <w:rFonts w:hint="eastAsia" w:ascii="宋体" w:hAnsi="宋体" w:cs="宋体"/>
                <w:sz w:val="24"/>
              </w:rPr>
            </w:pPr>
            <w:r>
              <w:rPr>
                <w:rFonts w:hint="eastAsia" w:ascii="宋体" w:hAnsi="宋体" w:cs="宋体"/>
                <w:bCs/>
                <w:color w:val="000000"/>
                <w:sz w:val="24"/>
              </w:rPr>
              <w:t>广西国控为广西壮族自治区人民政府国有资产监督管理委员会下属企业。</w:t>
            </w:r>
          </w:p>
        </w:tc>
      </w:tr>
      <w:tr w14:paraId="7C75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14B8611C">
            <w:pPr>
              <w:pStyle w:val="5"/>
              <w:adjustRightInd w:val="0"/>
              <w:snapToGrid w:val="0"/>
              <w:spacing w:after="0" w:line="320" w:lineRule="exact"/>
              <w:jc w:val="center"/>
              <w:rPr>
                <w:rFonts w:hint="eastAsia" w:ascii="宋体" w:hAnsi="宋体" w:cs="宋体"/>
                <w:bCs/>
                <w:color w:val="000000"/>
                <w:sz w:val="24"/>
              </w:rPr>
            </w:pPr>
          </w:p>
        </w:tc>
        <w:tc>
          <w:tcPr>
            <w:tcW w:w="1457" w:type="dxa"/>
            <w:vAlign w:val="center"/>
          </w:tcPr>
          <w:p w14:paraId="406F3BB3">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t>2.柳州两面针</w:t>
            </w:r>
          </w:p>
        </w:tc>
        <w:tc>
          <w:tcPr>
            <w:tcW w:w="6243" w:type="dxa"/>
            <w:vAlign w:val="center"/>
          </w:tcPr>
          <w:p w14:paraId="777E7F9D">
            <w:pPr>
              <w:adjustRightInd w:val="0"/>
              <w:snapToGrid w:val="0"/>
              <w:spacing w:after="0" w:line="320" w:lineRule="exact"/>
              <w:ind w:firstLine="480" w:firstLineChars="200"/>
              <w:rPr>
                <w:rFonts w:hint="eastAsia" w:ascii="宋体" w:hAnsi="宋体" w:cs="宋体"/>
                <w:sz w:val="24"/>
              </w:rPr>
            </w:pPr>
            <w:r>
              <w:rPr>
                <w:rFonts w:hint="eastAsia" w:ascii="宋体" w:hAnsi="宋体" w:cs="宋体"/>
                <w:sz w:val="24"/>
              </w:rPr>
              <w:t>柳州两面针于1996年12月19日成立于广西柳州市，为上海证券交易所上市公司，主要业务为日化用品及医药生产销售等。</w:t>
            </w:r>
          </w:p>
          <w:p w14:paraId="16D47384">
            <w:pPr>
              <w:adjustRightInd w:val="0"/>
              <w:snapToGrid w:val="0"/>
              <w:spacing w:after="0" w:line="320" w:lineRule="exact"/>
              <w:ind w:firstLine="480" w:firstLineChars="200"/>
              <w:rPr>
                <w:rFonts w:hint="eastAsia" w:ascii="宋体" w:hAnsi="宋体" w:cs="宋体"/>
                <w:sz w:val="24"/>
              </w:rPr>
            </w:pPr>
            <w:r>
              <w:rPr>
                <w:rFonts w:hint="eastAsia" w:ascii="宋体" w:hAnsi="宋体" w:cs="宋体"/>
                <w:sz w:val="24"/>
              </w:rPr>
              <w:t>柳州两面针最终控制人为柳州产投，主要业务为以自有资金从事投资活动、企业总部管理、社会经济咨询服务、房地产租赁等。</w:t>
            </w:r>
          </w:p>
        </w:tc>
      </w:tr>
      <w:tr w14:paraId="7A07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940" w:type="dxa"/>
            <w:vMerge w:val="restart"/>
            <w:shd w:val="clear" w:color="auto" w:fill="D9D9D9"/>
            <w:vAlign w:val="center"/>
          </w:tcPr>
          <w:p w14:paraId="12049D14">
            <w:pPr>
              <w:pStyle w:val="5"/>
              <w:adjustRightInd w:val="0"/>
              <w:snapToGrid w:val="0"/>
              <w:spacing w:after="0" w:line="320" w:lineRule="exact"/>
              <w:jc w:val="center"/>
              <w:rPr>
                <w:rFonts w:hint="eastAsia" w:ascii="宋体" w:hAnsi="宋体" w:cs="宋体"/>
                <w:bCs/>
                <w:color w:val="000000"/>
                <w:sz w:val="24"/>
              </w:rPr>
            </w:pPr>
            <w:r>
              <w:rPr>
                <w:rFonts w:hint="eastAsia" w:ascii="宋体" w:hAnsi="宋体" w:cs="宋体"/>
                <w:bCs/>
                <w:color w:val="000000"/>
                <w:sz w:val="24"/>
              </w:rPr>
              <w:t>简易案件理由（可以单选，也可以多选）</w:t>
            </w:r>
          </w:p>
        </w:tc>
        <w:tc>
          <w:tcPr>
            <w:tcW w:w="7700" w:type="dxa"/>
            <w:gridSpan w:val="2"/>
            <w:vAlign w:val="center"/>
          </w:tcPr>
          <w:p w14:paraId="133F3D36">
            <w:pPr>
              <w:pStyle w:val="5"/>
              <w:adjustRightInd w:val="0"/>
              <w:snapToGrid w:val="0"/>
              <w:spacing w:after="0" w:line="320" w:lineRule="exact"/>
              <w:rPr>
                <w:rFonts w:hint="eastAsia" w:ascii="宋体" w:hAnsi="宋体" w:cs="宋体"/>
                <w:bCs/>
                <w:color w:val="000000"/>
                <w:sz w:val="24"/>
                <w:highlight w:val="cyan"/>
              </w:rPr>
            </w:pPr>
            <w:r>
              <w:rPr>
                <w:rFonts w:hint="eastAsia" w:ascii="宋体" w:hAnsi="宋体" w:cs="宋体"/>
                <w:bCs/>
                <w:color w:val="000000"/>
                <w:sz w:val="24"/>
              </w:rPr>
              <w:sym w:font="Wingdings" w:char="00A8"/>
            </w:r>
            <w:r>
              <w:rPr>
                <w:rFonts w:hint="eastAsia" w:ascii="宋体" w:hAnsi="宋体" w:cs="宋体"/>
                <w:bCs/>
                <w:color w:val="000000"/>
                <w:sz w:val="24"/>
              </w:rPr>
              <w:t xml:space="preserve"> 1.在同一相关市场，参与集中的经营者所占市场份额之和小于15%。</w:t>
            </w:r>
          </w:p>
        </w:tc>
      </w:tr>
      <w:tr w14:paraId="40C0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940" w:type="dxa"/>
            <w:vMerge w:val="continue"/>
            <w:shd w:val="clear" w:color="auto" w:fill="D9D9D9"/>
            <w:vAlign w:val="center"/>
          </w:tcPr>
          <w:p w14:paraId="66358867">
            <w:pPr>
              <w:pStyle w:val="5"/>
              <w:adjustRightInd w:val="0"/>
              <w:snapToGrid w:val="0"/>
              <w:spacing w:after="0" w:line="320" w:lineRule="exact"/>
              <w:jc w:val="center"/>
              <w:rPr>
                <w:rFonts w:hint="eastAsia" w:ascii="宋体" w:hAnsi="宋体" w:cs="宋体"/>
                <w:bCs/>
                <w:color w:val="000000"/>
                <w:sz w:val="24"/>
              </w:rPr>
            </w:pPr>
          </w:p>
        </w:tc>
        <w:tc>
          <w:tcPr>
            <w:tcW w:w="7700" w:type="dxa"/>
            <w:gridSpan w:val="2"/>
            <w:vAlign w:val="center"/>
          </w:tcPr>
          <w:p w14:paraId="0EA91DA1">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2.在上下游市场，参与集中的经营者所占的市场份额均小于25%。</w:t>
            </w:r>
          </w:p>
        </w:tc>
      </w:tr>
      <w:tr w14:paraId="3AE7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3E5AD774">
            <w:pPr>
              <w:pStyle w:val="5"/>
              <w:adjustRightInd w:val="0"/>
              <w:snapToGrid w:val="0"/>
              <w:spacing w:after="0" w:line="320" w:lineRule="exact"/>
              <w:jc w:val="center"/>
              <w:rPr>
                <w:rFonts w:hint="eastAsia" w:ascii="宋体" w:hAnsi="宋体" w:cs="宋体"/>
                <w:bCs/>
                <w:color w:val="000000"/>
                <w:sz w:val="24"/>
              </w:rPr>
            </w:pPr>
          </w:p>
        </w:tc>
        <w:tc>
          <w:tcPr>
            <w:tcW w:w="7700" w:type="dxa"/>
            <w:gridSpan w:val="2"/>
            <w:vAlign w:val="center"/>
          </w:tcPr>
          <w:p w14:paraId="57922498">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sym w:font="Wingdings" w:char="00FE"/>
            </w:r>
            <w:r>
              <w:rPr>
                <w:rFonts w:hint="eastAsia" w:ascii="宋体" w:hAnsi="宋体" w:cs="宋体"/>
                <w:bCs/>
                <w:color w:val="000000"/>
                <w:sz w:val="24"/>
              </w:rPr>
              <w:t xml:space="preserve"> 3.不在同一相关市场也不存在上下游关系的参与集中的经营者，在与交易有关的每个市场所占的份额均小于25%。</w:t>
            </w:r>
          </w:p>
        </w:tc>
      </w:tr>
      <w:tr w14:paraId="04A7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4584B152">
            <w:pPr>
              <w:pStyle w:val="5"/>
              <w:adjustRightInd w:val="0"/>
              <w:snapToGrid w:val="0"/>
              <w:spacing w:after="0" w:line="320" w:lineRule="exact"/>
              <w:jc w:val="center"/>
              <w:rPr>
                <w:rFonts w:hint="eastAsia" w:ascii="宋体" w:hAnsi="宋体" w:cs="宋体"/>
                <w:bCs/>
                <w:color w:val="000000"/>
                <w:sz w:val="24"/>
              </w:rPr>
            </w:pPr>
          </w:p>
        </w:tc>
        <w:tc>
          <w:tcPr>
            <w:tcW w:w="7700" w:type="dxa"/>
            <w:gridSpan w:val="2"/>
            <w:vAlign w:val="center"/>
          </w:tcPr>
          <w:p w14:paraId="119D2F9B">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4.参与集中的经营者在中国境外设立合营企业，合营企业不在中国境内从事经济活动。</w:t>
            </w:r>
          </w:p>
        </w:tc>
      </w:tr>
      <w:tr w14:paraId="553F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45077D85">
            <w:pPr>
              <w:pStyle w:val="5"/>
              <w:adjustRightInd w:val="0"/>
              <w:snapToGrid w:val="0"/>
              <w:spacing w:after="0" w:line="320" w:lineRule="exact"/>
              <w:jc w:val="center"/>
              <w:rPr>
                <w:rFonts w:hint="eastAsia" w:ascii="宋体" w:hAnsi="宋体" w:cs="宋体"/>
                <w:bCs/>
                <w:color w:val="000000"/>
                <w:sz w:val="24"/>
              </w:rPr>
            </w:pPr>
          </w:p>
        </w:tc>
        <w:tc>
          <w:tcPr>
            <w:tcW w:w="7700" w:type="dxa"/>
            <w:gridSpan w:val="2"/>
            <w:vAlign w:val="center"/>
          </w:tcPr>
          <w:p w14:paraId="6905A187">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5.参与集中的经营者收购境外企业股权或资产的，该境外企业不在中国境内从事经济活动。</w:t>
            </w:r>
          </w:p>
        </w:tc>
      </w:tr>
      <w:tr w14:paraId="4CFC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47DA1FE2">
            <w:pPr>
              <w:pStyle w:val="5"/>
              <w:adjustRightInd w:val="0"/>
              <w:snapToGrid w:val="0"/>
              <w:spacing w:after="0" w:line="320" w:lineRule="exact"/>
              <w:jc w:val="center"/>
              <w:rPr>
                <w:rFonts w:hint="eastAsia" w:ascii="宋体" w:hAnsi="宋体" w:cs="宋体"/>
                <w:bCs/>
                <w:color w:val="000000"/>
                <w:sz w:val="24"/>
              </w:rPr>
            </w:pPr>
          </w:p>
        </w:tc>
        <w:tc>
          <w:tcPr>
            <w:tcW w:w="7700" w:type="dxa"/>
            <w:gridSpan w:val="2"/>
            <w:vAlign w:val="center"/>
          </w:tcPr>
          <w:p w14:paraId="30A9111B">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6.由两个以上的经营者共同控制的合营企业，通过集中被其中一个或一个以上经营者控制。</w:t>
            </w:r>
          </w:p>
        </w:tc>
      </w:tr>
      <w:tr w14:paraId="4E89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14:paraId="4C4246F5">
            <w:pPr>
              <w:pStyle w:val="5"/>
              <w:adjustRightInd w:val="0"/>
              <w:snapToGrid w:val="0"/>
              <w:spacing w:after="0" w:line="320" w:lineRule="exact"/>
              <w:jc w:val="center"/>
              <w:rPr>
                <w:rFonts w:hint="eastAsia" w:ascii="宋体" w:hAnsi="宋体" w:cs="宋体"/>
                <w:bCs/>
                <w:color w:val="000000"/>
                <w:sz w:val="24"/>
              </w:rPr>
            </w:pPr>
            <w:r>
              <w:rPr>
                <w:rFonts w:hint="eastAsia" w:ascii="宋体" w:hAnsi="宋体" w:cs="宋体"/>
                <w:bCs/>
                <w:color w:val="000000"/>
                <w:sz w:val="24"/>
              </w:rPr>
              <w:t>备注</w:t>
            </w:r>
          </w:p>
        </w:tc>
        <w:tc>
          <w:tcPr>
            <w:tcW w:w="7700" w:type="dxa"/>
            <w:gridSpan w:val="2"/>
            <w:vAlign w:val="center"/>
          </w:tcPr>
          <w:p w14:paraId="5FC89890">
            <w:pPr>
              <w:pStyle w:val="5"/>
              <w:adjustRightInd w:val="0"/>
              <w:snapToGrid w:val="0"/>
              <w:spacing w:after="0" w:line="320" w:lineRule="exact"/>
              <w:rPr>
                <w:rFonts w:hint="eastAsia" w:ascii="宋体" w:hAnsi="宋体" w:cs="宋体"/>
                <w:b/>
                <w:color w:val="000000"/>
                <w:sz w:val="24"/>
              </w:rPr>
            </w:pPr>
            <w:r>
              <w:rPr>
                <w:rFonts w:hint="eastAsia" w:ascii="宋体" w:hAnsi="宋体" w:cs="宋体"/>
                <w:b/>
                <w:color w:val="000000"/>
                <w:sz w:val="24"/>
              </w:rPr>
              <w:t>混合集中：</w:t>
            </w:r>
          </w:p>
          <w:p w14:paraId="5F6451B2">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t>2025年中国境内酒店一次性洗漱用品市场：</w:t>
            </w:r>
          </w:p>
          <w:p w14:paraId="2F87CC9F">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t>柳州两面针：5-10%</w:t>
            </w:r>
          </w:p>
          <w:p w14:paraId="18A51624">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t>2025年中国境内家用牙膏市场：</w:t>
            </w:r>
          </w:p>
          <w:p w14:paraId="6BEB304E">
            <w:pPr>
              <w:pStyle w:val="5"/>
              <w:adjustRightInd w:val="0"/>
              <w:snapToGrid w:val="0"/>
              <w:spacing w:after="0" w:line="320" w:lineRule="exact"/>
              <w:rPr>
                <w:rFonts w:hint="eastAsia" w:ascii="宋体" w:hAnsi="宋体" w:cs="宋体"/>
                <w:bCs/>
                <w:color w:val="000000"/>
                <w:sz w:val="24"/>
              </w:rPr>
            </w:pPr>
            <w:r>
              <w:rPr>
                <w:rFonts w:hint="eastAsia" w:ascii="宋体" w:hAnsi="宋体" w:cs="宋体"/>
                <w:bCs/>
                <w:color w:val="000000"/>
                <w:sz w:val="24"/>
              </w:rPr>
              <w:t>柳州两面针：0-5%</w:t>
            </w:r>
          </w:p>
        </w:tc>
      </w:tr>
    </w:tbl>
    <w:p w14:paraId="57995578">
      <w:pPr>
        <w:rPr>
          <w:rFonts w:eastAsiaTheme="minor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mMTI0ODhhNzFmMGU3MTZhMTA0ODYxYzI1N2YwYjIifQ=="/>
  </w:docVars>
  <w:rsids>
    <w:rsidRoot w:val="511505E7"/>
    <w:rsid w:val="00023CD5"/>
    <w:rsid w:val="00042BDD"/>
    <w:rsid w:val="00062A85"/>
    <w:rsid w:val="000732B9"/>
    <w:rsid w:val="0007692D"/>
    <w:rsid w:val="00087338"/>
    <w:rsid w:val="0009732A"/>
    <w:rsid w:val="000B129C"/>
    <w:rsid w:val="000C7C99"/>
    <w:rsid w:val="00114814"/>
    <w:rsid w:val="0015468B"/>
    <w:rsid w:val="00162A11"/>
    <w:rsid w:val="001A3122"/>
    <w:rsid w:val="001B50F2"/>
    <w:rsid w:val="001C6148"/>
    <w:rsid w:val="001F1C3C"/>
    <w:rsid w:val="00220B05"/>
    <w:rsid w:val="0022179C"/>
    <w:rsid w:val="00221FCA"/>
    <w:rsid w:val="00244DF9"/>
    <w:rsid w:val="00284710"/>
    <w:rsid w:val="002F18E2"/>
    <w:rsid w:val="00332EAC"/>
    <w:rsid w:val="0034463A"/>
    <w:rsid w:val="00346B84"/>
    <w:rsid w:val="00351103"/>
    <w:rsid w:val="003579CC"/>
    <w:rsid w:val="00367A54"/>
    <w:rsid w:val="003835F2"/>
    <w:rsid w:val="004133F3"/>
    <w:rsid w:val="004948F0"/>
    <w:rsid w:val="004C4C54"/>
    <w:rsid w:val="00500F51"/>
    <w:rsid w:val="00504BEC"/>
    <w:rsid w:val="0050617E"/>
    <w:rsid w:val="00507863"/>
    <w:rsid w:val="00551ECB"/>
    <w:rsid w:val="005C4EFC"/>
    <w:rsid w:val="005F5560"/>
    <w:rsid w:val="00606430"/>
    <w:rsid w:val="0062408E"/>
    <w:rsid w:val="00627CE6"/>
    <w:rsid w:val="00646E32"/>
    <w:rsid w:val="00656CD1"/>
    <w:rsid w:val="00692AFF"/>
    <w:rsid w:val="006A20C6"/>
    <w:rsid w:val="006A4389"/>
    <w:rsid w:val="006C3B44"/>
    <w:rsid w:val="00707821"/>
    <w:rsid w:val="0072474D"/>
    <w:rsid w:val="00734F51"/>
    <w:rsid w:val="00774B3B"/>
    <w:rsid w:val="007D63FA"/>
    <w:rsid w:val="007E06DE"/>
    <w:rsid w:val="007F706B"/>
    <w:rsid w:val="00816711"/>
    <w:rsid w:val="00826195"/>
    <w:rsid w:val="008446C5"/>
    <w:rsid w:val="008472A3"/>
    <w:rsid w:val="00876497"/>
    <w:rsid w:val="00891987"/>
    <w:rsid w:val="008B6BA9"/>
    <w:rsid w:val="008D1D1C"/>
    <w:rsid w:val="008F7E6A"/>
    <w:rsid w:val="009040AD"/>
    <w:rsid w:val="00914FE9"/>
    <w:rsid w:val="00934D60"/>
    <w:rsid w:val="00996257"/>
    <w:rsid w:val="009A7A68"/>
    <w:rsid w:val="00A25063"/>
    <w:rsid w:val="00A67BEB"/>
    <w:rsid w:val="00A73286"/>
    <w:rsid w:val="00AB10BA"/>
    <w:rsid w:val="00AB5F57"/>
    <w:rsid w:val="00AF2A61"/>
    <w:rsid w:val="00B25C95"/>
    <w:rsid w:val="00B45330"/>
    <w:rsid w:val="00B456E2"/>
    <w:rsid w:val="00B93533"/>
    <w:rsid w:val="00BB4E16"/>
    <w:rsid w:val="00BC4863"/>
    <w:rsid w:val="00BD3FB4"/>
    <w:rsid w:val="00BE051D"/>
    <w:rsid w:val="00C046B3"/>
    <w:rsid w:val="00C659BA"/>
    <w:rsid w:val="00C72941"/>
    <w:rsid w:val="00C91BD4"/>
    <w:rsid w:val="00CC6E5E"/>
    <w:rsid w:val="00CF553B"/>
    <w:rsid w:val="00D11F6E"/>
    <w:rsid w:val="00D14CED"/>
    <w:rsid w:val="00D62B13"/>
    <w:rsid w:val="00E02F08"/>
    <w:rsid w:val="00E40607"/>
    <w:rsid w:val="00E4263C"/>
    <w:rsid w:val="00E466FD"/>
    <w:rsid w:val="00E643EB"/>
    <w:rsid w:val="00EE2FA7"/>
    <w:rsid w:val="00EF4E4A"/>
    <w:rsid w:val="00EF62E6"/>
    <w:rsid w:val="00F529A9"/>
    <w:rsid w:val="00F63099"/>
    <w:rsid w:val="00F7053E"/>
    <w:rsid w:val="00F90810"/>
    <w:rsid w:val="00FD5EA5"/>
    <w:rsid w:val="00FF42DD"/>
    <w:rsid w:val="011DF4EB"/>
    <w:rsid w:val="01B165CE"/>
    <w:rsid w:val="0217304F"/>
    <w:rsid w:val="02515359"/>
    <w:rsid w:val="02BE1282"/>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7D1FFD"/>
    <w:rsid w:val="0BD91CE7"/>
    <w:rsid w:val="0C6B60D7"/>
    <w:rsid w:val="0CC96F4F"/>
    <w:rsid w:val="0DE526A7"/>
    <w:rsid w:val="0E5C7E9D"/>
    <w:rsid w:val="0EEC791B"/>
    <w:rsid w:val="0F272A69"/>
    <w:rsid w:val="0FA436B7"/>
    <w:rsid w:val="0FBBC6D8"/>
    <w:rsid w:val="10C02711"/>
    <w:rsid w:val="12ED74AA"/>
    <w:rsid w:val="130B6D76"/>
    <w:rsid w:val="13236AF1"/>
    <w:rsid w:val="13D6674E"/>
    <w:rsid w:val="150C1E94"/>
    <w:rsid w:val="156644E7"/>
    <w:rsid w:val="15D94F21"/>
    <w:rsid w:val="15E47716"/>
    <w:rsid w:val="1680064E"/>
    <w:rsid w:val="17436509"/>
    <w:rsid w:val="181A7DD3"/>
    <w:rsid w:val="194523AC"/>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64A41"/>
    <w:rsid w:val="289A6D28"/>
    <w:rsid w:val="2AD92954"/>
    <w:rsid w:val="2B795B9C"/>
    <w:rsid w:val="2C0C7CCC"/>
    <w:rsid w:val="2CAC25FF"/>
    <w:rsid w:val="2DFF8C0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CF65106"/>
    <w:rsid w:val="3DBE0E38"/>
    <w:rsid w:val="3DCF2C73"/>
    <w:rsid w:val="3E3B322A"/>
    <w:rsid w:val="3EB7365E"/>
    <w:rsid w:val="3EBE2D3F"/>
    <w:rsid w:val="3ED7D01C"/>
    <w:rsid w:val="3EE73D98"/>
    <w:rsid w:val="3FFFF7A9"/>
    <w:rsid w:val="40161AFD"/>
    <w:rsid w:val="40D7777E"/>
    <w:rsid w:val="41CC7DDB"/>
    <w:rsid w:val="41D779C0"/>
    <w:rsid w:val="436E421B"/>
    <w:rsid w:val="43E353FE"/>
    <w:rsid w:val="45E92E66"/>
    <w:rsid w:val="46845245"/>
    <w:rsid w:val="46F216C3"/>
    <w:rsid w:val="48567BBA"/>
    <w:rsid w:val="48604985"/>
    <w:rsid w:val="48C332AF"/>
    <w:rsid w:val="48DAD897"/>
    <w:rsid w:val="49857111"/>
    <w:rsid w:val="498A72A0"/>
    <w:rsid w:val="4A1B48DF"/>
    <w:rsid w:val="4A666A5B"/>
    <w:rsid w:val="4C824703"/>
    <w:rsid w:val="4CC01CF8"/>
    <w:rsid w:val="4CFD75DE"/>
    <w:rsid w:val="4D533669"/>
    <w:rsid w:val="4D611881"/>
    <w:rsid w:val="4DB67BAD"/>
    <w:rsid w:val="4DBF710D"/>
    <w:rsid w:val="4E585190"/>
    <w:rsid w:val="4E626EA5"/>
    <w:rsid w:val="4F7D0643"/>
    <w:rsid w:val="50CB3BDA"/>
    <w:rsid w:val="511505E7"/>
    <w:rsid w:val="52691F60"/>
    <w:rsid w:val="5275657D"/>
    <w:rsid w:val="53701092"/>
    <w:rsid w:val="53DE53F7"/>
    <w:rsid w:val="549363D0"/>
    <w:rsid w:val="54D26C3D"/>
    <w:rsid w:val="54DD7AC9"/>
    <w:rsid w:val="55413F6A"/>
    <w:rsid w:val="558A3AEC"/>
    <w:rsid w:val="55FF4F39"/>
    <w:rsid w:val="563C0C84"/>
    <w:rsid w:val="567C47AD"/>
    <w:rsid w:val="568C7EFA"/>
    <w:rsid w:val="5721053D"/>
    <w:rsid w:val="59246BE1"/>
    <w:rsid w:val="5A320350"/>
    <w:rsid w:val="5A4E1134"/>
    <w:rsid w:val="5A8F5421"/>
    <w:rsid w:val="5AB377AC"/>
    <w:rsid w:val="5ADB7A9F"/>
    <w:rsid w:val="5B37709F"/>
    <w:rsid w:val="5BDF7AA8"/>
    <w:rsid w:val="5CC770F3"/>
    <w:rsid w:val="5D2A1DB6"/>
    <w:rsid w:val="5DFF5221"/>
    <w:rsid w:val="5E527642"/>
    <w:rsid w:val="5E606197"/>
    <w:rsid w:val="5E758AD3"/>
    <w:rsid w:val="5EFFEB53"/>
    <w:rsid w:val="5F56F5B6"/>
    <w:rsid w:val="5F5B3889"/>
    <w:rsid w:val="5F7404E1"/>
    <w:rsid w:val="60B85CFA"/>
    <w:rsid w:val="61AC7C2D"/>
    <w:rsid w:val="61F32521"/>
    <w:rsid w:val="63F6661D"/>
    <w:rsid w:val="641C3943"/>
    <w:rsid w:val="64F94FB6"/>
    <w:rsid w:val="64FF0119"/>
    <w:rsid w:val="650C61D5"/>
    <w:rsid w:val="65183212"/>
    <w:rsid w:val="65AC0421"/>
    <w:rsid w:val="67090219"/>
    <w:rsid w:val="6754015D"/>
    <w:rsid w:val="67885F66"/>
    <w:rsid w:val="67D469E8"/>
    <w:rsid w:val="685D233B"/>
    <w:rsid w:val="68865FA7"/>
    <w:rsid w:val="69C0748D"/>
    <w:rsid w:val="6A7D30C3"/>
    <w:rsid w:val="6AB73D5A"/>
    <w:rsid w:val="6B0D1787"/>
    <w:rsid w:val="6B9261CD"/>
    <w:rsid w:val="6B9A71CB"/>
    <w:rsid w:val="6BCB1BF4"/>
    <w:rsid w:val="6BCC0CB3"/>
    <w:rsid w:val="6C2B2308"/>
    <w:rsid w:val="6C45316D"/>
    <w:rsid w:val="6CBF87B4"/>
    <w:rsid w:val="6DEFBAE0"/>
    <w:rsid w:val="6E372E5F"/>
    <w:rsid w:val="6E3FE820"/>
    <w:rsid w:val="6E786ABC"/>
    <w:rsid w:val="6F538C10"/>
    <w:rsid w:val="6FDF5799"/>
    <w:rsid w:val="6FEF082D"/>
    <w:rsid w:val="710A7485"/>
    <w:rsid w:val="71394751"/>
    <w:rsid w:val="72131803"/>
    <w:rsid w:val="723024E6"/>
    <w:rsid w:val="73026B48"/>
    <w:rsid w:val="74566BED"/>
    <w:rsid w:val="74CE550B"/>
    <w:rsid w:val="75933226"/>
    <w:rsid w:val="767FE0B3"/>
    <w:rsid w:val="76AFBFF1"/>
    <w:rsid w:val="76CA40F3"/>
    <w:rsid w:val="77527FDF"/>
    <w:rsid w:val="77AFF4F6"/>
    <w:rsid w:val="77FFCFC3"/>
    <w:rsid w:val="781DC11E"/>
    <w:rsid w:val="78410251"/>
    <w:rsid w:val="793FB7A1"/>
    <w:rsid w:val="7A66B182"/>
    <w:rsid w:val="7A9C06E1"/>
    <w:rsid w:val="7AB91678"/>
    <w:rsid w:val="7B8F578C"/>
    <w:rsid w:val="7B9A66EF"/>
    <w:rsid w:val="7BE411F0"/>
    <w:rsid w:val="7BF5EC97"/>
    <w:rsid w:val="7BFD20A7"/>
    <w:rsid w:val="7BFFD823"/>
    <w:rsid w:val="7C7918BC"/>
    <w:rsid w:val="7C893E5D"/>
    <w:rsid w:val="7EE72273"/>
    <w:rsid w:val="7EF7CDD2"/>
    <w:rsid w:val="7F7BEB9D"/>
    <w:rsid w:val="7F8206A0"/>
    <w:rsid w:val="7FBF2495"/>
    <w:rsid w:val="7FDCAB43"/>
    <w:rsid w:val="7FE91E78"/>
    <w:rsid w:val="7FFDE69B"/>
    <w:rsid w:val="7FFF7DA9"/>
    <w:rsid w:val="9CBD0B1A"/>
    <w:rsid w:val="9FEF137C"/>
    <w:rsid w:val="A7F9C1DE"/>
    <w:rsid w:val="ADFAC79E"/>
    <w:rsid w:val="B3BF1605"/>
    <w:rsid w:val="B593FB7D"/>
    <w:rsid w:val="B9B92832"/>
    <w:rsid w:val="BCB7048F"/>
    <w:rsid w:val="BEAF73DD"/>
    <w:rsid w:val="BF8E36EE"/>
    <w:rsid w:val="BFDFB85E"/>
    <w:rsid w:val="BFF739EC"/>
    <w:rsid w:val="C3F5BA26"/>
    <w:rsid w:val="D5DB8D8A"/>
    <w:rsid w:val="DDEFBA43"/>
    <w:rsid w:val="DEAFB90F"/>
    <w:rsid w:val="DF21B821"/>
    <w:rsid w:val="DFD76A11"/>
    <w:rsid w:val="E9CF0B83"/>
    <w:rsid w:val="E9F71F09"/>
    <w:rsid w:val="EAFD8D58"/>
    <w:rsid w:val="EB6C770B"/>
    <w:rsid w:val="EBCD181E"/>
    <w:rsid w:val="EFFFDD70"/>
    <w:rsid w:val="F1B778F1"/>
    <w:rsid w:val="F3FF743F"/>
    <w:rsid w:val="F4FF55F7"/>
    <w:rsid w:val="F4FFB88F"/>
    <w:rsid w:val="F7FD911C"/>
    <w:rsid w:val="F9DF2CA6"/>
    <w:rsid w:val="FADD6E63"/>
    <w:rsid w:val="FB3326CC"/>
    <w:rsid w:val="FBCE4D19"/>
    <w:rsid w:val="FDBF10AA"/>
    <w:rsid w:val="FEDF345D"/>
    <w:rsid w:val="FEFF44F1"/>
    <w:rsid w:val="FFBC3961"/>
    <w:rsid w:val="FFCFC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8"/>
    <w:unhideWhenUsed/>
    <w:qFormat/>
    <w:uiPriority w:val="0"/>
    <w:pPr>
      <w:spacing w:after="120"/>
    </w:pPr>
  </w:style>
  <w:style w:type="paragraph" w:styleId="6">
    <w:name w:val="Body Text First Indent"/>
    <w:basedOn w:val="5"/>
    <w:qFormat/>
    <w:uiPriority w:val="0"/>
    <w:pPr>
      <w:ind w:firstLine="420" w:firstLineChars="100"/>
    </w:p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sz w:val="30"/>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rPr>
      <w:rFonts w:ascii="Times New Roman" w:hAnsi="Times New Roman" w:eastAsia="宋体" w:cs="Simplified Arabic"/>
      <w:sz w:val="24"/>
      <w:szCs w:val="24"/>
      <w:lang w:val="en-GB" w:bidi="ar-AE"/>
    </w:rPr>
  </w:style>
  <w:style w:type="paragraph" w:customStyle="1" w:styleId="14">
    <w:name w:val="名称2"/>
    <w:basedOn w:val="15"/>
    <w:qFormat/>
    <w:uiPriority w:val="0"/>
    <w:pPr>
      <w:spacing w:after="312" w:afterLines="100"/>
    </w:pPr>
    <w:rPr>
      <w:b w:val="0"/>
      <w:sz w:val="20"/>
    </w:rPr>
  </w:style>
  <w:style w:type="paragraph" w:customStyle="1" w:styleId="15">
    <w:name w:val="名称"/>
    <w:basedOn w:val="1"/>
    <w:qFormat/>
    <w:uiPriority w:val="0"/>
    <w:pPr>
      <w:jc w:val="center"/>
    </w:pPr>
    <w:rPr>
      <w:b/>
      <w:kern w:val="0"/>
      <w:sz w:val="44"/>
      <w:szCs w:val="20"/>
    </w:rPr>
  </w:style>
  <w:style w:type="character" w:customStyle="1" w:styleId="16">
    <w:name w:val="页眉 字符"/>
    <w:basedOn w:val="12"/>
    <w:link w:val="8"/>
    <w:qFormat/>
    <w:uiPriority w:val="0"/>
    <w:rPr>
      <w:rFonts w:ascii="Times New Roman" w:hAnsi="Times New Roman" w:eastAsia="宋体" w:cs="Times New Roman"/>
      <w:kern w:val="2"/>
      <w:sz w:val="18"/>
      <w:szCs w:val="18"/>
    </w:rPr>
  </w:style>
  <w:style w:type="character" w:customStyle="1" w:styleId="17">
    <w:name w:val="页脚 字符"/>
    <w:basedOn w:val="12"/>
    <w:link w:val="7"/>
    <w:qFormat/>
    <w:uiPriority w:val="0"/>
    <w:rPr>
      <w:rFonts w:ascii="Times New Roman" w:hAnsi="Times New Roman" w:eastAsia="宋体" w:cs="Times New Roman"/>
      <w:kern w:val="2"/>
      <w:sz w:val="18"/>
      <w:szCs w:val="18"/>
    </w:rPr>
  </w:style>
  <w:style w:type="character" w:customStyle="1" w:styleId="18">
    <w:name w:val="正文文本 字符"/>
    <w:basedOn w:val="12"/>
    <w:link w:val="5"/>
    <w:qFormat/>
    <w:uiPriority w:val="0"/>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7"/>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2">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3">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1799</Words>
  <Characters>1941</Characters>
  <Lines>42</Lines>
  <Paragraphs>117</Paragraphs>
  <TotalTime>43</TotalTime>
  <ScaleCrop>false</ScaleCrop>
  <LinksUpToDate>false</LinksUpToDate>
  <CharactersWithSpaces>2063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2024-12-27T11:16:00Z</dcterms:created>
  <dc:creator>张斌（反垄断处）</dc:creator>
  <cp:lastModifiedBy>郑玉丽</cp:lastModifiedBy>
  <cp:lastPrinted>2024-08-02T01:27:00Z</cp:lastPrinted>
  <dcterms:modified xsi:type="dcterms:W3CDTF">2026-05-25T01:15:30Z</dcterms:modified>
  <dc:title>关于经营者集中反垄断审查案件</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73439B40580270EA11B00E6AC05624BE</vt:lpwstr>
  </property>
  <property fmtid="{D5CDD505-2E9C-101B-9397-08002B2CF9AE}" pid="4" name="GrammarlyDocumentId">
    <vt:lpwstr>415c04c2ea5c76eeb4abe029fcd35cefb8eb7f284a36f64b516eda6a0aa520b6</vt:lpwstr>
  </property>
  <property fmtid="{D5CDD505-2E9C-101B-9397-08002B2CF9AE}" pid="5" name="KSOTemplateDocerSaveRecord">
    <vt:lpwstr>eyJoZGlkIjoiODNjM2VkZWUwYjdkZDYzZGY2NmZiZGNiZGIyMjFjYWIiLCJ1c2VySWQiOiIxMjE0ODEzMDc5In0=</vt:lpwstr>
  </property>
</Properties>
</file>