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868AE">
      <w:pPr>
        <w:widowControl/>
        <w:spacing w:after="240"/>
        <w:jc w:val="center"/>
        <w:rPr>
          <w:rFonts w:hint="eastAsia" w:ascii="方正小标宋简体" w:hAnsi="方正小标宋简体" w:eastAsia="方正小标宋简体" w:cs="方正小标宋简体"/>
          <w:bCs/>
          <w:kern w:val="0"/>
          <w:sz w:val="44"/>
          <w:szCs w:val="44"/>
          <w:lang w:val="en-GB" w:bidi="ar-AE"/>
        </w:rPr>
      </w:pPr>
      <w:r>
        <w:rPr>
          <w:rFonts w:hint="eastAsia" w:ascii="方正小标宋简体" w:hAnsi="方正小标宋简体" w:eastAsia="方正小标宋简体" w:cs="方正小标宋简体"/>
          <w:bCs/>
          <w:kern w:val="0"/>
          <w:sz w:val="44"/>
          <w:szCs w:val="44"/>
          <w:lang w:val="en-GB" w:bidi="ar-AE"/>
        </w:rPr>
        <w:t>经营者集中简易案件公示表</w:t>
      </w:r>
    </w:p>
    <w:tbl>
      <w:tblPr>
        <w:tblStyle w:val="2"/>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1710"/>
        <w:gridCol w:w="5331"/>
      </w:tblGrid>
      <w:tr w14:paraId="4AB1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431" w:type="dxa"/>
            <w:shd w:val="clear" w:color="auto" w:fill="D9D9D9"/>
            <w:vAlign w:val="center"/>
          </w:tcPr>
          <w:p w14:paraId="1049FD5A">
            <w:pPr>
              <w:adjustRightInd w:val="0"/>
              <w:snapToGrid w:val="0"/>
              <w:rPr>
                <w:rFonts w:ascii="宋体" w:hAnsi="宋体" w:eastAsia="宋体" w:cs="Times New Roman"/>
                <w:bCs/>
                <w:color w:val="000000"/>
                <w:sz w:val="24"/>
              </w:rPr>
            </w:pPr>
            <w:r>
              <w:rPr>
                <w:rFonts w:ascii="宋体" w:hAnsi="宋体" w:eastAsia="宋体" w:cs="Times New Roman"/>
                <w:bCs/>
                <w:color w:val="000000"/>
                <w:sz w:val="24"/>
                <w:lang w:val="en-GB"/>
              </w:rPr>
              <w:t>案件名称</w:t>
            </w:r>
          </w:p>
        </w:tc>
        <w:tc>
          <w:tcPr>
            <w:tcW w:w="7041" w:type="dxa"/>
            <w:gridSpan w:val="2"/>
            <w:vAlign w:val="center"/>
          </w:tcPr>
          <w:p w14:paraId="792B7E6E">
            <w:pPr>
              <w:adjustRightInd w:val="0"/>
              <w:snapToGrid w:val="0"/>
              <w:rPr>
                <w:rFonts w:ascii="宋体" w:hAnsi="宋体" w:eastAsia="宋体" w:cs="Times New Roman"/>
                <w:bCs/>
                <w:color w:val="000000"/>
                <w:sz w:val="24"/>
              </w:rPr>
            </w:pPr>
            <w:r>
              <w:rPr>
                <w:rFonts w:hint="eastAsia" w:ascii="宋体" w:hAnsi="宋体" w:eastAsia="宋体" w:cs="Times New Roman"/>
                <w:bCs/>
                <w:color w:val="000000"/>
                <w:sz w:val="24"/>
              </w:rPr>
              <w:t>摩科瑞能源集团有限公司与塔塔国际新加坡有限公司新设合营企业案</w:t>
            </w:r>
          </w:p>
        </w:tc>
      </w:tr>
      <w:tr w14:paraId="1E8A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431" w:type="dxa"/>
            <w:shd w:val="clear" w:color="auto" w:fill="D9D9D9"/>
            <w:vAlign w:val="center"/>
          </w:tcPr>
          <w:p w14:paraId="353EA599">
            <w:pPr>
              <w:adjustRightInd w:val="0"/>
              <w:snapToGrid w:val="0"/>
              <w:rPr>
                <w:rFonts w:ascii="宋体" w:hAnsi="宋体" w:eastAsia="宋体" w:cs="Times New Roman"/>
                <w:bCs/>
                <w:color w:val="000000"/>
                <w:sz w:val="24"/>
              </w:rPr>
            </w:pPr>
            <w:r>
              <w:rPr>
                <w:rFonts w:ascii="宋体" w:hAnsi="宋体" w:eastAsia="宋体" w:cs="Times New Roman"/>
                <w:bCs/>
                <w:color w:val="000000"/>
                <w:sz w:val="24"/>
                <w:lang w:val="en-GB"/>
              </w:rPr>
              <w:t>交易概况（限200字内）</w:t>
            </w:r>
          </w:p>
        </w:tc>
        <w:tc>
          <w:tcPr>
            <w:tcW w:w="7041" w:type="dxa"/>
            <w:gridSpan w:val="2"/>
            <w:vAlign w:val="center"/>
          </w:tcPr>
          <w:p w14:paraId="5A411ED0">
            <w:pPr>
              <w:adjustRightInd w:val="0"/>
              <w:snapToGrid w:val="0"/>
              <w:rPr>
                <w:rFonts w:ascii="宋体" w:hAnsi="宋体" w:eastAsia="宋体" w:cs="Times New Roman"/>
                <w:bCs/>
                <w:color w:val="000000"/>
                <w:sz w:val="24"/>
              </w:rPr>
            </w:pPr>
            <w:r>
              <w:rPr>
                <w:rFonts w:hint="eastAsia" w:ascii="宋体" w:hAnsi="宋体" w:eastAsia="宋体" w:cs="Times New Roman"/>
                <w:bCs/>
                <w:color w:val="000000"/>
                <w:sz w:val="24"/>
              </w:rPr>
              <w:t>摩科瑞能源集团有限公司（“摩科瑞”，通过其子公司）与塔塔国际新加坡有限公司（“塔塔国际新加坡”）签署协议，摩科瑞与塔塔国际新加坡将在阿联酋迪拜国际金融中心（DIFC）</w:t>
            </w:r>
            <w:r>
              <w:rPr>
                <w:rFonts w:hint="eastAsia" w:ascii="宋体" w:hAnsi="宋体" w:eastAsia="宋体" w:cs="Times New Roman"/>
                <w:bCs/>
                <w:color w:val="000000"/>
                <w:sz w:val="24"/>
                <w:lang w:eastAsia="zh-CN"/>
              </w:rPr>
              <w:t>新设</w:t>
            </w:r>
            <w:r>
              <w:rPr>
                <w:rFonts w:hint="eastAsia" w:ascii="宋体" w:hAnsi="宋体" w:eastAsia="宋体" w:cs="Times New Roman"/>
                <w:bCs/>
                <w:color w:val="000000"/>
                <w:sz w:val="24"/>
              </w:rPr>
              <w:t>合营企业。塔塔国际新加坡将对其特定贸易业务进行重组，并将该等业务全部注入合营企业</w:t>
            </w:r>
            <w:r>
              <w:rPr>
                <w:rFonts w:hint="eastAsia" w:ascii="宋体" w:hAnsi="宋体" w:eastAsia="宋体" w:cs="Times New Roman"/>
                <w:bCs/>
                <w:color w:val="000000"/>
                <w:sz w:val="24"/>
                <w:lang w:eastAsia="zh-CN"/>
              </w:rPr>
              <w:t>。</w:t>
            </w:r>
            <w:r>
              <w:rPr>
                <w:rFonts w:hint="eastAsia" w:ascii="宋体" w:hAnsi="宋体" w:eastAsia="宋体" w:cs="Times New Roman"/>
                <w:bCs/>
                <w:color w:val="000000"/>
                <w:sz w:val="24"/>
              </w:rPr>
              <w:t>合营企业将主要从事大宗商品贸易业务。</w:t>
            </w:r>
          </w:p>
          <w:p w14:paraId="678532D0">
            <w:pPr>
              <w:adjustRightInd w:val="0"/>
              <w:snapToGrid w:val="0"/>
              <w:rPr>
                <w:rFonts w:ascii="宋体" w:hAnsi="宋体" w:eastAsia="宋体" w:cs="Times New Roman"/>
                <w:bCs/>
                <w:color w:val="000000"/>
                <w:sz w:val="24"/>
              </w:rPr>
            </w:pPr>
            <w:r>
              <w:rPr>
                <w:rFonts w:hint="eastAsia" w:ascii="宋体" w:hAnsi="宋体" w:eastAsia="宋体" w:cs="Times New Roman"/>
                <w:bCs/>
                <w:color w:val="000000"/>
                <w:sz w:val="24"/>
              </w:rPr>
              <w:t>交易后，摩科瑞与塔塔国际新加坡将分别持有合营企业51%、49%的股份</w:t>
            </w:r>
            <w:r>
              <w:rPr>
                <w:rFonts w:hint="eastAsia" w:ascii="宋体" w:hAnsi="宋体" w:eastAsia="宋体" w:cs="Times New Roman"/>
                <w:bCs/>
                <w:color w:val="000000"/>
                <w:sz w:val="24"/>
                <w:lang w:eastAsia="zh-CN"/>
              </w:rPr>
              <w:t>，</w:t>
            </w:r>
            <w:r>
              <w:rPr>
                <w:rFonts w:hint="eastAsia" w:ascii="宋体" w:hAnsi="宋体" w:eastAsia="宋体" w:cs="Times New Roman"/>
                <w:bCs/>
                <w:color w:val="000000"/>
                <w:sz w:val="24"/>
              </w:rPr>
              <w:t>摩科瑞与塔塔国际新加坡将共同控制合营企业。</w:t>
            </w:r>
          </w:p>
        </w:tc>
      </w:tr>
      <w:tr w14:paraId="3236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431" w:type="dxa"/>
            <w:vMerge w:val="restart"/>
            <w:shd w:val="clear" w:color="auto" w:fill="D9D9D9"/>
            <w:vAlign w:val="center"/>
          </w:tcPr>
          <w:p w14:paraId="34767164">
            <w:pPr>
              <w:adjustRightInd w:val="0"/>
              <w:snapToGrid w:val="0"/>
              <w:rPr>
                <w:rFonts w:ascii="宋体" w:hAnsi="宋体" w:eastAsia="宋体" w:cs="Times New Roman"/>
                <w:bCs/>
                <w:color w:val="000000"/>
                <w:sz w:val="24"/>
              </w:rPr>
            </w:pPr>
            <w:r>
              <w:rPr>
                <w:rFonts w:ascii="宋体" w:hAnsi="宋体" w:eastAsia="宋体" w:cs="Times New Roman"/>
                <w:bCs/>
                <w:color w:val="000000"/>
                <w:sz w:val="24"/>
                <w:lang w:val="en-GB"/>
              </w:rPr>
              <w:t>参与集中的经营者简介（每个限</w:t>
            </w:r>
            <w:r>
              <w:rPr>
                <w:rFonts w:ascii="宋体" w:hAnsi="宋体" w:eastAsia="宋体" w:cs="Times New Roman"/>
                <w:bCs/>
                <w:color w:val="000000"/>
                <w:sz w:val="24"/>
              </w:rPr>
              <w:t>100字以内</w:t>
            </w:r>
            <w:r>
              <w:rPr>
                <w:rFonts w:ascii="宋体" w:hAnsi="宋体" w:eastAsia="宋体" w:cs="Times New Roman"/>
                <w:bCs/>
                <w:color w:val="000000"/>
                <w:sz w:val="24"/>
                <w:lang w:val="en-GB"/>
              </w:rPr>
              <w:t>）</w:t>
            </w:r>
          </w:p>
        </w:tc>
        <w:tc>
          <w:tcPr>
            <w:tcW w:w="1710" w:type="dxa"/>
            <w:vAlign w:val="center"/>
          </w:tcPr>
          <w:p w14:paraId="0A5E28CD">
            <w:pPr>
              <w:adjustRightInd w:val="0"/>
              <w:snapToGrid w:val="0"/>
              <w:rPr>
                <w:rFonts w:ascii="宋体" w:hAnsi="宋体" w:eastAsia="宋体" w:cs="Times New Roman"/>
                <w:bCs/>
                <w:color w:val="000000"/>
                <w:sz w:val="24"/>
              </w:rPr>
            </w:pPr>
            <w:r>
              <w:rPr>
                <w:rFonts w:hint="eastAsia" w:ascii="宋体" w:hAnsi="宋体" w:eastAsia="宋体" w:cs="Times New Roman"/>
                <w:bCs/>
                <w:color w:val="000000"/>
                <w:sz w:val="24"/>
              </w:rPr>
              <w:t>1. 摩科瑞</w:t>
            </w:r>
          </w:p>
        </w:tc>
        <w:tc>
          <w:tcPr>
            <w:tcW w:w="5331" w:type="dxa"/>
            <w:vAlign w:val="center"/>
          </w:tcPr>
          <w:p w14:paraId="2527CF9D">
            <w:pPr>
              <w:adjustRightInd w:val="0"/>
              <w:snapToGrid w:val="0"/>
              <w:rPr>
                <w:rFonts w:ascii="宋体" w:hAnsi="宋体" w:eastAsia="宋体" w:cs="Times New Roman"/>
                <w:bCs/>
                <w:color w:val="000000"/>
                <w:sz w:val="24"/>
                <w:lang w:val="en-GB"/>
              </w:rPr>
            </w:pPr>
            <w:r>
              <w:rPr>
                <w:rFonts w:hint="eastAsia" w:ascii="宋体" w:hAnsi="宋体" w:eastAsia="宋体" w:cs="Times New Roman"/>
                <w:bCs/>
                <w:color w:val="000000"/>
                <w:sz w:val="24"/>
                <w:lang w:val="en-GB"/>
              </w:rPr>
              <w:t>摩科瑞于2024年10月21日成立于百慕大，是一家全球能源与大宗商品贸易及投资公司。</w:t>
            </w:r>
          </w:p>
          <w:p w14:paraId="66653A8C">
            <w:pPr>
              <w:adjustRightInd w:val="0"/>
              <w:snapToGrid w:val="0"/>
              <w:rPr>
                <w:rFonts w:ascii="宋体" w:hAnsi="宋体" w:eastAsia="宋体" w:cs="Times New Roman"/>
                <w:bCs/>
                <w:color w:val="000000"/>
                <w:sz w:val="24"/>
                <w:lang w:val="en-GB"/>
              </w:rPr>
            </w:pPr>
            <w:r>
              <w:rPr>
                <w:rFonts w:hint="eastAsia" w:ascii="宋体" w:hAnsi="宋体" w:eastAsia="宋体" w:cs="Times New Roman"/>
                <w:bCs/>
                <w:color w:val="000000"/>
                <w:sz w:val="24"/>
                <w:lang w:val="en-GB"/>
              </w:rPr>
              <w:t>摩科瑞的最终控制人为摩科瑞能源集团控股有限公司（与其关联公司合称“摩科瑞集团”）。摩科瑞集团是一家在全球范围内开展业务的能源与大宗商品公司。</w:t>
            </w:r>
          </w:p>
        </w:tc>
      </w:tr>
      <w:tr w14:paraId="0A9A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431" w:type="dxa"/>
            <w:vMerge w:val="continue"/>
            <w:shd w:val="clear" w:color="auto" w:fill="D9D9D9"/>
            <w:vAlign w:val="center"/>
          </w:tcPr>
          <w:p w14:paraId="30E1E681">
            <w:pPr>
              <w:adjustRightInd w:val="0"/>
              <w:snapToGrid w:val="0"/>
              <w:rPr>
                <w:rFonts w:ascii="宋体" w:hAnsi="宋体" w:eastAsia="宋体" w:cs="Times New Roman"/>
                <w:bCs/>
                <w:color w:val="000000"/>
                <w:sz w:val="24"/>
                <w:lang w:val="en-GB"/>
              </w:rPr>
            </w:pPr>
          </w:p>
        </w:tc>
        <w:tc>
          <w:tcPr>
            <w:tcW w:w="1710" w:type="dxa"/>
            <w:vAlign w:val="center"/>
          </w:tcPr>
          <w:p w14:paraId="250A0400">
            <w:pPr>
              <w:adjustRightInd w:val="0"/>
              <w:snapToGrid w:val="0"/>
              <w:rPr>
                <w:rFonts w:ascii="宋体" w:hAnsi="宋体" w:eastAsia="宋体" w:cs="Times New Roman"/>
                <w:bCs/>
                <w:color w:val="000000"/>
                <w:sz w:val="24"/>
              </w:rPr>
            </w:pPr>
            <w:r>
              <w:rPr>
                <w:rFonts w:hint="eastAsia" w:ascii="宋体" w:hAnsi="宋体" w:eastAsia="宋体" w:cs="Times New Roman"/>
                <w:bCs/>
                <w:color w:val="000000"/>
                <w:sz w:val="24"/>
              </w:rPr>
              <w:t>2. 塔塔国际新加坡</w:t>
            </w:r>
          </w:p>
        </w:tc>
        <w:tc>
          <w:tcPr>
            <w:tcW w:w="5331" w:type="dxa"/>
          </w:tcPr>
          <w:p w14:paraId="68216F0E">
            <w:pPr>
              <w:adjustRightInd w:val="0"/>
              <w:snapToGrid w:val="0"/>
              <w:rPr>
                <w:rFonts w:ascii="宋体" w:hAnsi="宋体" w:eastAsia="宋体" w:cs="Times New Roman"/>
                <w:sz w:val="24"/>
              </w:rPr>
            </w:pPr>
            <w:r>
              <w:rPr>
                <w:rFonts w:hint="eastAsia" w:ascii="宋体" w:hAnsi="宋体" w:eastAsia="宋体" w:cs="Times New Roman"/>
                <w:sz w:val="24"/>
              </w:rPr>
              <w:t>塔塔国际新加坡于</w:t>
            </w:r>
            <w:r>
              <w:rPr>
                <w:rFonts w:ascii="宋体" w:hAnsi="宋体" w:eastAsia="宋体" w:cs="Times New Roman"/>
                <w:bCs/>
                <w:color w:val="000000"/>
                <w:sz w:val="24"/>
                <w:lang w:val="en-GB"/>
              </w:rPr>
              <w:t>20</w:t>
            </w:r>
            <w:r>
              <w:rPr>
                <w:rFonts w:hint="eastAsia" w:ascii="宋体" w:hAnsi="宋体" w:eastAsia="宋体" w:cs="Times New Roman"/>
                <w:bCs/>
                <w:color w:val="000000"/>
                <w:sz w:val="24"/>
                <w:lang w:val="en-GB"/>
              </w:rPr>
              <w:t>11</w:t>
            </w:r>
            <w:r>
              <w:rPr>
                <w:rFonts w:hint="eastAsia" w:ascii="宋体" w:hAnsi="宋体" w:eastAsia="宋体" w:cs="Times New Roman"/>
                <w:sz w:val="24"/>
              </w:rPr>
              <w:t>年11</w:t>
            </w:r>
            <w:r>
              <w:rPr>
                <w:rFonts w:hint="eastAsia" w:ascii="宋体" w:hAnsi="宋体" w:eastAsia="宋体" w:cs="Times New Roman"/>
                <w:bCs/>
                <w:color w:val="000000"/>
                <w:sz w:val="24"/>
                <w:lang w:val="en-GB"/>
              </w:rPr>
              <w:t>月1日成立于新加坡，其</w:t>
            </w:r>
            <w:r>
              <w:rPr>
                <w:rFonts w:hint="eastAsia" w:ascii="宋体" w:hAnsi="宋体" w:eastAsia="宋体" w:cs="Times New Roman"/>
                <w:sz w:val="24"/>
              </w:rPr>
              <w:t>主要从事矿产品贸易业务，同时也是海外投资的控股公司。</w:t>
            </w:r>
          </w:p>
          <w:p w14:paraId="37C250FD">
            <w:pPr>
              <w:adjustRightInd w:val="0"/>
              <w:snapToGrid w:val="0"/>
              <w:rPr>
                <w:rFonts w:ascii="宋体" w:hAnsi="宋体" w:eastAsia="宋体" w:cs="Times New Roman"/>
                <w:sz w:val="24"/>
              </w:rPr>
            </w:pPr>
            <w:r>
              <w:rPr>
                <w:rFonts w:hint="eastAsia" w:ascii="宋体" w:hAnsi="宋体" w:eastAsia="宋体" w:cs="Times New Roman"/>
                <w:sz w:val="24"/>
              </w:rPr>
              <w:t>塔塔国际新加坡的最终控制人为塔塔父子私人有限公司（“塔塔父子”，与其关联公司合称“塔塔集团”）。塔塔父子是塔塔集团各公司的主要投资控股公司和发起人。塔塔集团的业务活动涉及多个领域，包括科技、钢铁、汽车、消费品和零售业、基础设施、金融服务、国防和航空、旅游业、通讯和传媒以及贸易和投资。</w:t>
            </w:r>
          </w:p>
        </w:tc>
      </w:tr>
      <w:tr w14:paraId="3DB5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431" w:type="dxa"/>
            <w:vMerge w:val="restart"/>
            <w:shd w:val="clear" w:color="auto" w:fill="D9D9D9"/>
            <w:vAlign w:val="center"/>
          </w:tcPr>
          <w:p w14:paraId="02A12E3D">
            <w:pPr>
              <w:adjustRightInd w:val="0"/>
              <w:snapToGrid w:val="0"/>
              <w:rPr>
                <w:rFonts w:ascii="宋体" w:hAnsi="宋体" w:eastAsia="宋体" w:cs="Times New Roman"/>
                <w:bCs/>
                <w:color w:val="000000"/>
                <w:sz w:val="24"/>
              </w:rPr>
            </w:pPr>
            <w:r>
              <w:rPr>
                <w:rFonts w:ascii="宋体" w:hAnsi="宋体" w:eastAsia="宋体" w:cs="Times New Roman"/>
                <w:bCs/>
                <w:color w:val="000000"/>
                <w:sz w:val="24"/>
                <w:lang w:val="en-GB"/>
              </w:rPr>
              <w:t>简易案件理由（可以单选，也可以多选）</w:t>
            </w:r>
          </w:p>
        </w:tc>
        <w:tc>
          <w:tcPr>
            <w:tcW w:w="7041" w:type="dxa"/>
            <w:gridSpan w:val="2"/>
          </w:tcPr>
          <w:p w14:paraId="25D7D44B">
            <w:pPr>
              <w:adjustRightInd w:val="0"/>
              <w:snapToGrid w:val="0"/>
              <w:rPr>
                <w:rFonts w:ascii="宋体" w:hAnsi="宋体" w:eastAsia="宋体" w:cs="Times New Roman"/>
                <w:bCs/>
                <w:color w:val="000000"/>
                <w:sz w:val="24"/>
              </w:rPr>
            </w:pPr>
            <w:r>
              <w:rPr>
                <w:rFonts w:ascii="宋体" w:hAnsi="宋体" w:eastAsia="宋体" w:cs="Times New Roman"/>
                <w:sz w:val="24"/>
              </w:rPr>
              <w:sym w:font="Wingdings" w:char="F0FE"/>
            </w:r>
            <w:r>
              <w:rPr>
                <w:rFonts w:ascii="宋体" w:hAnsi="宋体" w:eastAsia="宋体" w:cs="Times New Roman"/>
                <w:sz w:val="24"/>
              </w:rPr>
              <w:t>1、在同一相关市场，参与集中的经营者所占的市场份额之和小于15%。</w:t>
            </w:r>
          </w:p>
        </w:tc>
      </w:tr>
      <w:tr w14:paraId="70ED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431" w:type="dxa"/>
            <w:vMerge w:val="continue"/>
            <w:shd w:val="clear" w:color="auto" w:fill="D9D9D9"/>
            <w:vAlign w:val="center"/>
          </w:tcPr>
          <w:p w14:paraId="39B8B719">
            <w:pPr>
              <w:numPr>
                <w:ilvl w:val="0"/>
                <w:numId w:val="1"/>
              </w:numPr>
              <w:adjustRightInd w:val="0"/>
              <w:snapToGrid w:val="0"/>
              <w:ind w:left="0" w:firstLine="0"/>
              <w:rPr>
                <w:rFonts w:ascii="宋体" w:hAnsi="宋体" w:eastAsia="宋体" w:cs="Times New Roman"/>
                <w:bCs/>
                <w:color w:val="000000"/>
                <w:sz w:val="24"/>
              </w:rPr>
            </w:pPr>
          </w:p>
        </w:tc>
        <w:tc>
          <w:tcPr>
            <w:tcW w:w="7041" w:type="dxa"/>
            <w:gridSpan w:val="2"/>
          </w:tcPr>
          <w:p w14:paraId="2BBDC7E9">
            <w:pPr>
              <w:adjustRightInd w:val="0"/>
              <w:snapToGrid w:val="0"/>
              <w:rPr>
                <w:rFonts w:ascii="宋体" w:hAnsi="宋体" w:eastAsia="宋体" w:cs="Times New Roman"/>
                <w:bCs/>
                <w:color w:val="000000"/>
                <w:sz w:val="24"/>
              </w:rPr>
            </w:pPr>
            <w:r>
              <w:rPr>
                <w:rFonts w:ascii="Wingdings" w:hAnsi="Wingdings" w:eastAsia="Wingdings" w:cs="Wingdings"/>
                <w:szCs w:val="21"/>
              </w:rPr>
              <w:t>¨</w:t>
            </w:r>
            <w:r>
              <w:rPr>
                <w:rFonts w:ascii="宋体" w:hAnsi="宋体" w:eastAsia="宋体" w:cs="Times New Roman"/>
                <w:sz w:val="24"/>
              </w:rPr>
              <w:t>2、在上下游市场，参与集中的经营者所占的市场份额均小于25%。</w:t>
            </w:r>
          </w:p>
        </w:tc>
      </w:tr>
      <w:tr w14:paraId="2CB4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431" w:type="dxa"/>
            <w:vMerge w:val="continue"/>
            <w:shd w:val="clear" w:color="auto" w:fill="D9D9D9"/>
            <w:vAlign w:val="center"/>
          </w:tcPr>
          <w:p w14:paraId="25A1786E">
            <w:pPr>
              <w:numPr>
                <w:ilvl w:val="0"/>
                <w:numId w:val="1"/>
              </w:numPr>
              <w:adjustRightInd w:val="0"/>
              <w:snapToGrid w:val="0"/>
              <w:ind w:left="0" w:firstLine="0"/>
              <w:rPr>
                <w:rFonts w:ascii="宋体" w:hAnsi="宋体" w:eastAsia="宋体" w:cs="Times New Roman"/>
                <w:bCs/>
                <w:color w:val="000000"/>
                <w:sz w:val="24"/>
              </w:rPr>
            </w:pPr>
          </w:p>
        </w:tc>
        <w:tc>
          <w:tcPr>
            <w:tcW w:w="7041" w:type="dxa"/>
            <w:gridSpan w:val="2"/>
          </w:tcPr>
          <w:p w14:paraId="1699BC67">
            <w:pPr>
              <w:adjustRightInd w:val="0"/>
              <w:snapToGrid w:val="0"/>
              <w:rPr>
                <w:rFonts w:ascii="宋体" w:hAnsi="宋体" w:eastAsia="宋体" w:cs="Times New Roman"/>
                <w:bCs/>
                <w:color w:val="000000"/>
                <w:sz w:val="24"/>
              </w:rPr>
            </w:pPr>
            <w:r>
              <w:rPr>
                <w:rFonts w:ascii="Wingdings" w:hAnsi="Wingdings" w:eastAsia="Wingdings" w:cs="Wingdings"/>
                <w:szCs w:val="21"/>
              </w:rPr>
              <w:t>¨</w:t>
            </w:r>
            <w:r>
              <w:rPr>
                <w:rFonts w:ascii="宋体" w:hAnsi="宋体" w:eastAsia="宋体" w:cs="Times New Roman"/>
                <w:sz w:val="24"/>
              </w:rPr>
              <w:t>3、不在同一相关市场、也不存在上下游关系的参与集中的经营者，在与交易有关的每个市场所占的市场份额均小于25%。</w:t>
            </w:r>
          </w:p>
        </w:tc>
      </w:tr>
      <w:tr w14:paraId="6D28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431" w:type="dxa"/>
            <w:vMerge w:val="continue"/>
            <w:shd w:val="clear" w:color="auto" w:fill="D9D9D9"/>
            <w:vAlign w:val="center"/>
          </w:tcPr>
          <w:p w14:paraId="7141418F">
            <w:pPr>
              <w:numPr>
                <w:ilvl w:val="0"/>
                <w:numId w:val="1"/>
              </w:numPr>
              <w:adjustRightInd w:val="0"/>
              <w:snapToGrid w:val="0"/>
              <w:ind w:left="0" w:firstLine="0"/>
              <w:rPr>
                <w:rFonts w:ascii="宋体" w:hAnsi="宋体" w:eastAsia="宋体" w:cs="Times New Roman"/>
                <w:bCs/>
                <w:color w:val="000000"/>
                <w:sz w:val="24"/>
              </w:rPr>
            </w:pPr>
          </w:p>
        </w:tc>
        <w:tc>
          <w:tcPr>
            <w:tcW w:w="7041" w:type="dxa"/>
            <w:gridSpan w:val="2"/>
          </w:tcPr>
          <w:p w14:paraId="5F897329">
            <w:pPr>
              <w:adjustRightInd w:val="0"/>
              <w:snapToGrid w:val="0"/>
              <w:rPr>
                <w:rFonts w:ascii="宋体" w:hAnsi="宋体" w:eastAsia="宋体" w:cs="Times New Roman"/>
                <w:bCs/>
                <w:color w:val="000000"/>
                <w:sz w:val="24"/>
              </w:rPr>
            </w:pPr>
            <w:r>
              <w:rPr>
                <w:rFonts w:ascii="Wingdings" w:hAnsi="Wingdings" w:eastAsia="Wingdings" w:cs="Wingdings"/>
                <w:szCs w:val="21"/>
              </w:rPr>
              <w:t>¨</w:t>
            </w:r>
            <w:r>
              <w:rPr>
                <w:rFonts w:ascii="宋体" w:hAnsi="宋体" w:eastAsia="宋体" w:cs="Times New Roman"/>
                <w:sz w:val="24"/>
              </w:rPr>
              <w:t>4、参与集中的经营者在中国境外设立合营企业，合营企业不在中国境内从事经济活动。</w:t>
            </w:r>
          </w:p>
        </w:tc>
      </w:tr>
      <w:tr w14:paraId="0FB4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431" w:type="dxa"/>
            <w:vMerge w:val="continue"/>
            <w:shd w:val="clear" w:color="auto" w:fill="D9D9D9"/>
            <w:vAlign w:val="center"/>
          </w:tcPr>
          <w:p w14:paraId="7534D139">
            <w:pPr>
              <w:numPr>
                <w:ilvl w:val="0"/>
                <w:numId w:val="1"/>
              </w:numPr>
              <w:adjustRightInd w:val="0"/>
              <w:snapToGrid w:val="0"/>
              <w:ind w:left="0" w:firstLine="0"/>
              <w:rPr>
                <w:rFonts w:ascii="宋体" w:hAnsi="宋体" w:eastAsia="宋体" w:cs="Times New Roman"/>
                <w:bCs/>
                <w:color w:val="000000"/>
                <w:sz w:val="24"/>
              </w:rPr>
            </w:pPr>
          </w:p>
        </w:tc>
        <w:tc>
          <w:tcPr>
            <w:tcW w:w="7041" w:type="dxa"/>
            <w:gridSpan w:val="2"/>
          </w:tcPr>
          <w:p w14:paraId="31585FE5">
            <w:pPr>
              <w:adjustRightInd w:val="0"/>
              <w:snapToGrid w:val="0"/>
              <w:rPr>
                <w:rFonts w:ascii="宋体" w:hAnsi="宋体" w:eastAsia="宋体" w:cs="Times New Roman"/>
                <w:bCs/>
                <w:color w:val="000000"/>
                <w:sz w:val="24"/>
              </w:rPr>
            </w:pPr>
            <w:r>
              <w:rPr>
                <w:rFonts w:ascii="Wingdings" w:hAnsi="Wingdings" w:eastAsia="Wingdings" w:cs="Wingdings"/>
                <w:szCs w:val="21"/>
              </w:rPr>
              <w:t>¨</w:t>
            </w:r>
            <w:r>
              <w:rPr>
                <w:rFonts w:ascii="宋体" w:hAnsi="宋体" w:eastAsia="宋体" w:cs="Times New Roman"/>
                <w:sz w:val="24"/>
              </w:rPr>
              <w:t>5、参与集中的经营者收购境外企业股权或资产的，该境外企业不在中国境内从事经济活动。</w:t>
            </w:r>
          </w:p>
        </w:tc>
      </w:tr>
      <w:tr w14:paraId="7C82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431" w:type="dxa"/>
            <w:vMerge w:val="continue"/>
            <w:shd w:val="clear" w:color="auto" w:fill="D9D9D9"/>
            <w:vAlign w:val="center"/>
          </w:tcPr>
          <w:p w14:paraId="4220DB2C">
            <w:pPr>
              <w:numPr>
                <w:ilvl w:val="0"/>
                <w:numId w:val="1"/>
              </w:numPr>
              <w:adjustRightInd w:val="0"/>
              <w:snapToGrid w:val="0"/>
              <w:ind w:left="0" w:firstLine="0"/>
              <w:rPr>
                <w:rFonts w:ascii="宋体" w:hAnsi="宋体" w:eastAsia="宋体" w:cs="Times New Roman"/>
                <w:bCs/>
                <w:color w:val="000000"/>
                <w:sz w:val="24"/>
              </w:rPr>
            </w:pPr>
          </w:p>
        </w:tc>
        <w:tc>
          <w:tcPr>
            <w:tcW w:w="7041" w:type="dxa"/>
            <w:gridSpan w:val="2"/>
          </w:tcPr>
          <w:p w14:paraId="56E2FD6D">
            <w:pPr>
              <w:adjustRightInd w:val="0"/>
              <w:snapToGrid w:val="0"/>
              <w:rPr>
                <w:rFonts w:ascii="宋体" w:hAnsi="宋体" w:eastAsia="宋体" w:cs="Times New Roman"/>
                <w:bCs/>
                <w:color w:val="000000"/>
                <w:sz w:val="24"/>
              </w:rPr>
            </w:pPr>
            <w:r>
              <w:rPr>
                <w:rFonts w:ascii="Wingdings" w:hAnsi="Wingdings" w:eastAsia="Wingdings" w:cs="Wingdings"/>
                <w:szCs w:val="21"/>
              </w:rPr>
              <w:t>¨</w:t>
            </w:r>
            <w:r>
              <w:rPr>
                <w:rFonts w:ascii="宋体" w:hAnsi="宋体" w:eastAsia="宋体" w:cs="Times New Roman"/>
                <w:sz w:val="24"/>
              </w:rPr>
              <w:t>6、由两个以上的经营者共同控制的合营企业，通过集中被其中一个或一个以上经营者控制。</w:t>
            </w:r>
          </w:p>
        </w:tc>
      </w:tr>
      <w:tr w14:paraId="0A8F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431" w:type="dxa"/>
            <w:shd w:val="clear" w:color="auto" w:fill="D9D9D9"/>
            <w:vAlign w:val="center"/>
          </w:tcPr>
          <w:p w14:paraId="560DD957">
            <w:pPr>
              <w:adjustRightInd w:val="0"/>
              <w:snapToGrid w:val="0"/>
              <w:rPr>
                <w:rFonts w:ascii="宋体" w:hAnsi="宋体" w:eastAsia="宋体" w:cs="Times New Roman"/>
                <w:bCs/>
                <w:color w:val="000000"/>
                <w:sz w:val="24"/>
              </w:rPr>
            </w:pPr>
            <w:r>
              <w:rPr>
                <w:rFonts w:ascii="宋体" w:hAnsi="宋体" w:eastAsia="宋体" w:cs="Times New Roman"/>
                <w:bCs/>
                <w:color w:val="000000"/>
                <w:sz w:val="24"/>
              </w:rPr>
              <w:t>备注</w:t>
            </w:r>
          </w:p>
        </w:tc>
        <w:tc>
          <w:tcPr>
            <w:tcW w:w="7041" w:type="dxa"/>
            <w:gridSpan w:val="2"/>
            <w:vAlign w:val="center"/>
          </w:tcPr>
          <w:p w14:paraId="5B5774A2">
            <w:pPr>
              <w:adjustRightInd w:val="0"/>
              <w:snapToGrid w:val="0"/>
              <w:rPr>
                <w:rFonts w:ascii="宋体" w:hAnsi="宋体" w:eastAsia="宋体" w:cs="Times New Roman"/>
                <w:sz w:val="24"/>
              </w:rPr>
            </w:pPr>
            <w:r>
              <w:rPr>
                <w:rFonts w:hint="eastAsia" w:ascii="宋体" w:hAnsi="宋体" w:eastAsia="宋体" w:cs="Times New Roman"/>
                <w:b/>
                <w:bCs/>
                <w:sz w:val="24"/>
              </w:rPr>
              <w:t>横向重叠：</w:t>
            </w:r>
          </w:p>
          <w:tbl>
            <w:tblPr>
              <w:tblStyle w:val="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2100"/>
              <w:gridCol w:w="2632"/>
            </w:tblGrid>
            <w:tr w14:paraId="2620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tcPr>
                <w:p w14:paraId="7957D5AA">
                  <w:pPr>
                    <w:adjustRightInd w:val="0"/>
                    <w:snapToGrid w:val="0"/>
                    <w:jc w:val="center"/>
                    <w:rPr>
                      <w:rFonts w:hint="default" w:ascii="Times New Roman" w:hAnsi="Times New Roman" w:eastAsia="宋体" w:cs="Times New Roman"/>
                      <w:b/>
                      <w:bCs/>
                      <w:sz w:val="24"/>
                      <w:vertAlign w:val="baseline"/>
                      <w:lang w:eastAsia="zh-CN"/>
                    </w:rPr>
                  </w:pPr>
                  <w:r>
                    <w:rPr>
                      <w:rFonts w:hint="default" w:ascii="Times New Roman" w:hAnsi="Times New Roman" w:eastAsia="宋体" w:cs="Times New Roman"/>
                      <w:b/>
                      <w:bCs/>
                      <w:sz w:val="24"/>
                      <w:vertAlign w:val="baseline"/>
                      <w:lang w:eastAsia="zh-CN"/>
                    </w:rPr>
                    <w:t>相关商品市场</w:t>
                  </w:r>
                </w:p>
              </w:tc>
              <w:tc>
                <w:tcPr>
                  <w:tcW w:w="2100" w:type="dxa"/>
                </w:tcPr>
                <w:p w14:paraId="4AF3E155">
                  <w:pPr>
                    <w:adjustRightInd w:val="0"/>
                    <w:snapToGrid w:val="0"/>
                    <w:jc w:val="center"/>
                    <w:rPr>
                      <w:rFonts w:hint="default" w:ascii="Times New Roman" w:hAnsi="Times New Roman" w:eastAsia="宋体" w:cs="Times New Roman"/>
                      <w:b/>
                      <w:bCs/>
                      <w:sz w:val="24"/>
                      <w:vertAlign w:val="baseline"/>
                      <w:lang w:eastAsia="zh-CN"/>
                    </w:rPr>
                  </w:pPr>
                  <w:r>
                    <w:rPr>
                      <w:rFonts w:hint="default" w:ascii="Times New Roman" w:hAnsi="Times New Roman" w:eastAsia="宋体" w:cs="Times New Roman"/>
                      <w:b/>
                      <w:bCs/>
                      <w:sz w:val="24"/>
                      <w:vertAlign w:val="baseline"/>
                      <w:lang w:eastAsia="zh-CN"/>
                    </w:rPr>
                    <w:t>相关地域市场</w:t>
                  </w:r>
                </w:p>
              </w:tc>
              <w:tc>
                <w:tcPr>
                  <w:tcW w:w="2632" w:type="dxa"/>
                </w:tcPr>
                <w:p w14:paraId="3B37FC1C">
                  <w:pPr>
                    <w:adjustRightInd w:val="0"/>
                    <w:snapToGrid w:val="0"/>
                    <w:jc w:val="center"/>
                    <w:rPr>
                      <w:rFonts w:hint="default" w:ascii="Times New Roman" w:hAnsi="Times New Roman" w:eastAsia="宋体" w:cs="Times New Roman"/>
                      <w:b/>
                      <w:bCs/>
                      <w:sz w:val="24"/>
                      <w:vertAlign w:val="baseline"/>
                      <w:lang w:val="en-US" w:eastAsia="zh-CN"/>
                    </w:rPr>
                  </w:pPr>
                  <w:r>
                    <w:rPr>
                      <w:rFonts w:hint="default" w:ascii="Times New Roman" w:hAnsi="Times New Roman" w:eastAsia="宋体" w:cs="Times New Roman"/>
                      <w:b/>
                      <w:bCs/>
                      <w:sz w:val="24"/>
                      <w:vertAlign w:val="baseline"/>
                      <w:lang w:val="en-US" w:eastAsia="zh-CN"/>
                    </w:rPr>
                    <w:t>2025年市场份额</w:t>
                  </w:r>
                </w:p>
              </w:tc>
            </w:tr>
            <w:tr w14:paraId="4892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3E8BE9CB">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kern w:val="0"/>
                      <w:sz w:val="24"/>
                      <w:szCs w:val="22"/>
                      <w:lang w:val="en-GB" w:eastAsia="zh-CN" w:bidi="ar-SA"/>
                    </w:rPr>
                    <w:t>动力煤贸易市场</w:t>
                  </w:r>
                </w:p>
              </w:tc>
              <w:tc>
                <w:tcPr>
                  <w:tcW w:w="2100" w:type="dxa"/>
                  <w:vAlign w:val="center"/>
                </w:tcPr>
                <w:p w14:paraId="344E78A6">
                  <w:pPr>
                    <w:adjustRightInd w:val="0"/>
                    <w:snapToGrid w:val="0"/>
                    <w:rPr>
                      <w:rFonts w:hint="default" w:ascii="Times New Roman" w:hAnsi="Times New Roman" w:eastAsia="宋体" w:cs="Times New Roman"/>
                      <w:sz w:val="24"/>
                      <w:vertAlign w:val="baseline"/>
                      <w:lang w:eastAsia="zh-CN"/>
                    </w:rPr>
                  </w:pPr>
                  <w:r>
                    <w:rPr>
                      <w:rFonts w:hint="default" w:ascii="Times New Roman" w:hAnsi="Times New Roman" w:eastAsia="宋体" w:cs="Times New Roman"/>
                      <w:sz w:val="24"/>
                      <w:vertAlign w:val="baseline"/>
                      <w:lang w:eastAsia="zh-CN"/>
                    </w:rPr>
                    <w:t>中国境内</w:t>
                  </w:r>
                </w:p>
              </w:tc>
              <w:tc>
                <w:tcPr>
                  <w:tcW w:w="2632" w:type="dxa"/>
                </w:tcPr>
                <w:p w14:paraId="59288D63">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1716AA8F">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07B1B6E7">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r w14:paraId="7F8C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Merge w:val="restart"/>
                  <w:vAlign w:val="center"/>
                </w:tcPr>
                <w:p w14:paraId="52E8A7F5">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kern w:val="0"/>
                      <w:sz w:val="24"/>
                      <w:szCs w:val="22"/>
                      <w:lang w:val="en-GB" w:eastAsia="zh-CN" w:bidi="ar-SA"/>
                    </w:rPr>
                    <w:t>铁矿石贸易市场</w:t>
                  </w:r>
                </w:p>
              </w:tc>
              <w:tc>
                <w:tcPr>
                  <w:tcW w:w="2100" w:type="dxa"/>
                  <w:vAlign w:val="center"/>
                </w:tcPr>
                <w:p w14:paraId="0CF7E492">
                  <w:pPr>
                    <w:adjustRightInd w:val="0"/>
                    <w:snapToGrid w:val="0"/>
                    <w:rPr>
                      <w:rFonts w:hint="default" w:ascii="Times New Roman" w:hAnsi="Times New Roman" w:eastAsia="宋体" w:cs="Times New Roman"/>
                      <w:sz w:val="24"/>
                      <w:vertAlign w:val="baseline"/>
                      <w:lang w:eastAsia="zh-CN"/>
                    </w:rPr>
                  </w:pPr>
                  <w:r>
                    <w:rPr>
                      <w:rFonts w:hint="default" w:ascii="Times New Roman" w:hAnsi="Times New Roman" w:eastAsia="宋体" w:cs="Times New Roman"/>
                      <w:sz w:val="24"/>
                      <w:vertAlign w:val="baseline"/>
                      <w:lang w:eastAsia="zh-CN"/>
                    </w:rPr>
                    <w:t>全球</w:t>
                  </w:r>
                </w:p>
              </w:tc>
              <w:tc>
                <w:tcPr>
                  <w:tcW w:w="2632" w:type="dxa"/>
                </w:tcPr>
                <w:p w14:paraId="5F12AF21">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2E1CDA68">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7C8077C0">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r w14:paraId="27A4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Merge w:val="continue"/>
                  <w:vAlign w:val="center"/>
                </w:tcPr>
                <w:p w14:paraId="0816FFA1">
                  <w:pPr>
                    <w:adjustRightInd w:val="0"/>
                    <w:snapToGrid w:val="0"/>
                    <w:rPr>
                      <w:rFonts w:hint="default" w:ascii="Times New Roman" w:hAnsi="Times New Roman" w:eastAsia="宋体" w:cs="Times New Roman"/>
                      <w:sz w:val="24"/>
                      <w:vertAlign w:val="baseline"/>
                    </w:rPr>
                  </w:pPr>
                </w:p>
              </w:tc>
              <w:tc>
                <w:tcPr>
                  <w:tcW w:w="2100" w:type="dxa"/>
                  <w:vAlign w:val="center"/>
                </w:tcPr>
                <w:p w14:paraId="24B2B28E">
                  <w:pPr>
                    <w:adjustRightInd w:val="0"/>
                    <w:snapToGrid w:val="0"/>
                    <w:rPr>
                      <w:rFonts w:hint="default" w:ascii="Times New Roman" w:hAnsi="Times New Roman" w:eastAsia="宋体" w:cs="Times New Roman"/>
                      <w:sz w:val="24"/>
                      <w:vertAlign w:val="baseline"/>
                      <w:lang w:eastAsia="zh-CN"/>
                    </w:rPr>
                  </w:pPr>
                  <w:r>
                    <w:rPr>
                      <w:rFonts w:hint="default" w:ascii="Times New Roman" w:hAnsi="Times New Roman" w:eastAsia="宋体" w:cs="Times New Roman"/>
                      <w:sz w:val="24"/>
                      <w:vertAlign w:val="baseline"/>
                      <w:lang w:eastAsia="zh-CN"/>
                    </w:rPr>
                    <w:t>中国境内</w:t>
                  </w:r>
                </w:p>
              </w:tc>
              <w:tc>
                <w:tcPr>
                  <w:tcW w:w="2632" w:type="dxa"/>
                </w:tcPr>
                <w:p w14:paraId="470CFB63">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69CFA35F">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7ECF96CC">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r w14:paraId="4C1F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Merge w:val="restart"/>
                  <w:vAlign w:val="center"/>
                </w:tcPr>
                <w:p w14:paraId="14C6BA99">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kern w:val="0"/>
                      <w:sz w:val="24"/>
                      <w:szCs w:val="22"/>
                      <w:lang w:val="en-GB" w:eastAsia="zh-CN" w:bidi="ar-SA"/>
                    </w:rPr>
                    <w:t>成品油贸易市场</w:t>
                  </w:r>
                </w:p>
              </w:tc>
              <w:tc>
                <w:tcPr>
                  <w:tcW w:w="2100" w:type="dxa"/>
                  <w:vAlign w:val="center"/>
                </w:tcPr>
                <w:p w14:paraId="0DB9C2CF">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vertAlign w:val="baseline"/>
                      <w:lang w:eastAsia="zh-CN"/>
                    </w:rPr>
                    <w:t>全球</w:t>
                  </w:r>
                </w:p>
              </w:tc>
              <w:tc>
                <w:tcPr>
                  <w:tcW w:w="2632" w:type="dxa"/>
                </w:tcPr>
                <w:p w14:paraId="74ADCFAE">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184DF07E">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443D5B16">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r w14:paraId="3B67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Merge w:val="continue"/>
                  <w:vAlign w:val="center"/>
                </w:tcPr>
                <w:p w14:paraId="239B6697">
                  <w:pPr>
                    <w:adjustRightInd w:val="0"/>
                    <w:snapToGrid w:val="0"/>
                    <w:rPr>
                      <w:rFonts w:hint="default" w:ascii="Times New Roman" w:hAnsi="Times New Roman" w:eastAsia="宋体" w:cs="Times New Roman"/>
                      <w:sz w:val="24"/>
                      <w:vertAlign w:val="baseline"/>
                    </w:rPr>
                  </w:pPr>
                </w:p>
              </w:tc>
              <w:tc>
                <w:tcPr>
                  <w:tcW w:w="2100" w:type="dxa"/>
                  <w:vAlign w:val="center"/>
                </w:tcPr>
                <w:p w14:paraId="45382A02">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vertAlign w:val="baseline"/>
                      <w:lang w:eastAsia="zh-CN"/>
                    </w:rPr>
                    <w:t>中国境内</w:t>
                  </w:r>
                </w:p>
              </w:tc>
              <w:tc>
                <w:tcPr>
                  <w:tcW w:w="2632" w:type="dxa"/>
                </w:tcPr>
                <w:p w14:paraId="0EB3FECE">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2BF3A908">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0650C699">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r w14:paraId="2C32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Merge w:val="restart"/>
                  <w:vAlign w:val="center"/>
                </w:tcPr>
                <w:p w14:paraId="30FF1061">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kern w:val="0"/>
                      <w:sz w:val="24"/>
                      <w:szCs w:val="22"/>
                      <w:lang w:val="en-GB" w:eastAsia="zh-CN" w:bidi="ar-SA"/>
                    </w:rPr>
                    <w:t>精铜贸易市场</w:t>
                  </w:r>
                </w:p>
              </w:tc>
              <w:tc>
                <w:tcPr>
                  <w:tcW w:w="2100" w:type="dxa"/>
                  <w:vAlign w:val="center"/>
                </w:tcPr>
                <w:p w14:paraId="2D488BBB">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vertAlign w:val="baseline"/>
                      <w:lang w:eastAsia="zh-CN"/>
                    </w:rPr>
                    <w:t>全球</w:t>
                  </w:r>
                </w:p>
              </w:tc>
              <w:tc>
                <w:tcPr>
                  <w:tcW w:w="2632" w:type="dxa"/>
                </w:tcPr>
                <w:p w14:paraId="52CF3B58">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24CF7134">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1E5F71C0">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r w14:paraId="1237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Merge w:val="continue"/>
                  <w:vAlign w:val="center"/>
                </w:tcPr>
                <w:p w14:paraId="2C45DB97">
                  <w:pPr>
                    <w:adjustRightInd w:val="0"/>
                    <w:snapToGrid w:val="0"/>
                    <w:rPr>
                      <w:rFonts w:hint="default" w:ascii="Times New Roman" w:hAnsi="Times New Roman" w:eastAsia="宋体" w:cs="Times New Roman"/>
                      <w:sz w:val="24"/>
                      <w:vertAlign w:val="baseline"/>
                    </w:rPr>
                  </w:pPr>
                </w:p>
              </w:tc>
              <w:tc>
                <w:tcPr>
                  <w:tcW w:w="2100" w:type="dxa"/>
                  <w:vAlign w:val="center"/>
                </w:tcPr>
                <w:p w14:paraId="4485B44E">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vertAlign w:val="baseline"/>
                      <w:lang w:eastAsia="zh-CN"/>
                    </w:rPr>
                    <w:t>中国境内</w:t>
                  </w:r>
                </w:p>
              </w:tc>
              <w:tc>
                <w:tcPr>
                  <w:tcW w:w="2632" w:type="dxa"/>
                </w:tcPr>
                <w:p w14:paraId="3DB40F75">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摩科瑞：0-5%</w:t>
                  </w:r>
                </w:p>
                <w:p w14:paraId="6F5D71E9">
                  <w:pPr>
                    <w:adjustRightInd w:val="0"/>
                    <w:snapToGrid w:val="0"/>
                    <w:rPr>
                      <w:rFonts w:hint="default" w:ascii="Times New Roman" w:hAnsi="Times New Roman" w:eastAsia="宋体" w:cs="Times New Roman"/>
                      <w:sz w:val="24"/>
                    </w:rPr>
                  </w:pPr>
                  <w:r>
                    <w:rPr>
                      <w:rFonts w:hint="default" w:ascii="Times New Roman" w:hAnsi="Times New Roman" w:eastAsia="宋体" w:cs="Times New Roman"/>
                      <w:sz w:val="24"/>
                    </w:rPr>
                    <w:t>合营企业：0-5%</w:t>
                  </w:r>
                </w:p>
                <w:p w14:paraId="67B1E02A">
                  <w:pPr>
                    <w:adjustRightInd w:val="0"/>
                    <w:snapToGrid w:val="0"/>
                    <w:rPr>
                      <w:rFonts w:hint="default" w:ascii="Times New Roman" w:hAnsi="Times New Roman" w:eastAsia="宋体" w:cs="Times New Roman"/>
                      <w:sz w:val="24"/>
                      <w:vertAlign w:val="baseline"/>
                    </w:rPr>
                  </w:pPr>
                  <w:r>
                    <w:rPr>
                      <w:rFonts w:hint="default" w:ascii="Times New Roman" w:hAnsi="Times New Roman" w:eastAsia="宋体" w:cs="Times New Roman"/>
                      <w:sz w:val="24"/>
                    </w:rPr>
                    <w:t>双方合计：0-5%</w:t>
                  </w:r>
                </w:p>
              </w:tc>
            </w:tr>
          </w:tbl>
          <w:p w14:paraId="0731F3C6">
            <w:pPr>
              <w:adjustRightInd w:val="0"/>
              <w:snapToGrid w:val="0"/>
              <w:rPr>
                <w:rFonts w:hint="eastAsia" w:ascii="宋体" w:hAnsi="宋体" w:eastAsia="宋体" w:cs="Times New Roman"/>
                <w:sz w:val="24"/>
              </w:rPr>
            </w:pPr>
          </w:p>
        </w:tc>
      </w:tr>
    </w:tbl>
    <w:p w14:paraId="0F777EC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622118"/>
    <w:multiLevelType w:val="multilevel"/>
    <w:tmpl w:val="40622118"/>
    <w:lvl w:ilvl="0" w:tentative="0">
      <w:start w:val="1"/>
      <w:numFmt w:val="decimal"/>
      <w:lvlText w:val="%1."/>
      <w:lvlJc w:val="left"/>
      <w:pPr>
        <w:tabs>
          <w:tab w:val="left" w:pos="709"/>
        </w:tabs>
        <w:ind w:left="709" w:hanging="709"/>
      </w:pPr>
    </w:lvl>
    <w:lvl w:ilvl="1" w:tentative="0">
      <w:start w:val="1"/>
      <w:numFmt w:val="lowerLetter"/>
      <w:lvlRestart w:val="0"/>
      <w:lvlText w:val="(%2)"/>
      <w:lvlJc w:val="left"/>
      <w:pPr>
        <w:tabs>
          <w:tab w:val="left" w:pos="1418"/>
        </w:tabs>
        <w:ind w:left="1418" w:hanging="709"/>
      </w:pPr>
    </w:lvl>
    <w:lvl w:ilvl="2" w:tentative="0">
      <w:start w:val="1"/>
      <w:numFmt w:val="lowerRoman"/>
      <w:lvlRestart w:val="0"/>
      <w:lvlText w:val="(%3)"/>
      <w:lvlJc w:val="left"/>
      <w:pPr>
        <w:tabs>
          <w:tab w:val="left" w:pos="2126"/>
        </w:tabs>
        <w:ind w:left="2126" w:hanging="708"/>
      </w:pPr>
    </w:lvl>
    <w:lvl w:ilvl="3" w:tentative="0">
      <w:start w:val="1"/>
      <w:numFmt w:val="upperLetter"/>
      <w:lvlRestart w:val="0"/>
      <w:lvlText w:val="(%4)"/>
      <w:lvlJc w:val="left"/>
      <w:pPr>
        <w:tabs>
          <w:tab w:val="left" w:pos="2835"/>
        </w:tabs>
        <w:ind w:left="2835" w:hanging="709"/>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97790B"/>
    <w:rsid w:val="36977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2026-05-25T02:26:00Z</dcterms:created>
  <dc:creator>汗青</dc:creator>
  <cp:lastModifiedBy>汗青</cp:lastModifiedBy>
  <dcterms:modified xsi:type="dcterms:W3CDTF">2026-05-25T02:26:41Z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F7D0A6E55B2642239BAF8AB2FC6BB5B5_11</vt:lpwstr>
  </property>
  <property fmtid="{D5CDD505-2E9C-101B-9397-08002B2CF9AE}" pid="4" name="KSOTemplateDocerSaveRecord">
    <vt:lpwstr>eyJoZGlkIjoiNDQzMGY5ZWI0OWM3ZDY2ZDVhMWJmNzNkNjA0OTkyOWYiLCJ1c2VySWQiOiIzNzgxNDI0MDcifQ==</vt:lpwstr>
  </property>
</Properties>
</file>