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56AE0">
      <w:pPr>
        <w:widowControl/>
        <w:spacing w:after="240" w:line="594" w:lineRule="exact"/>
        <w:jc w:val="center"/>
        <w:rPr>
          <w:rFonts w:hint="eastAsia" w:ascii="黑体" w:hAnsi="黑体" w:eastAsia="黑体" w:cs="黑体"/>
          <w:bCs/>
          <w:kern w:val="0"/>
          <w:sz w:val="36"/>
          <w:szCs w:val="36"/>
          <w:lang w:val="en-GB" w:bidi="ar-AE"/>
        </w:rPr>
      </w:pPr>
      <w:r>
        <w:rPr>
          <w:rFonts w:hint="eastAsia" w:ascii="黑体" w:hAnsi="黑体" w:eastAsia="黑体" w:cs="黑体"/>
          <w:bCs/>
          <w:kern w:val="0"/>
          <w:sz w:val="36"/>
          <w:szCs w:val="36"/>
          <w:lang w:val="en-GB" w:bidi="ar-AE"/>
        </w:rPr>
        <w:t>经营者集中简易案件公示表</w:t>
      </w:r>
    </w:p>
    <w:tbl>
      <w:tblPr>
        <w:tblStyle w:val="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3"/>
        <w:gridCol w:w="1611"/>
        <w:gridCol w:w="5386"/>
      </w:tblGrid>
      <w:tr w14:paraId="5889E05B">
        <w:trPr>
          <w:trHeight w:val="926" w:hRule="atLeast"/>
        </w:trPr>
        <w:tc>
          <w:tcPr>
            <w:tcW w:w="894" w:type="pct"/>
            <w:shd w:val="clear" w:color="auto" w:fill="D9D9D9"/>
            <w:vAlign w:val="center"/>
          </w:tcPr>
          <w:p w14:paraId="3AD4E9A3">
            <w:pPr>
              <w:pStyle w:val="2"/>
              <w:adjustRightInd w:val="0"/>
              <w:snapToGrid w:val="0"/>
              <w:spacing w:after="0"/>
              <w:rPr>
                <w:rFonts w:hint="eastAsia" w:ascii="宋体" w:hAnsi="宋体" w:eastAsia="宋体" w:cs="宋体"/>
                <w:bCs/>
                <w:color w:val="auto"/>
                <w:sz w:val="24"/>
                <w:szCs w:val="24"/>
                <w:lang w:val="en-US"/>
              </w:rPr>
            </w:pPr>
            <w:r>
              <w:rPr>
                <w:rFonts w:hint="eastAsia" w:ascii="宋体" w:hAnsi="宋体" w:eastAsia="宋体" w:cs="宋体"/>
                <w:bCs/>
                <w:color w:val="auto"/>
                <w:sz w:val="24"/>
                <w:szCs w:val="24"/>
              </w:rPr>
              <w:t>案件名称</w:t>
            </w:r>
          </w:p>
        </w:tc>
        <w:tc>
          <w:tcPr>
            <w:tcW w:w="4105" w:type="pct"/>
            <w:gridSpan w:val="2"/>
            <w:vAlign w:val="center"/>
          </w:tcPr>
          <w:p w14:paraId="3AD95C4F">
            <w:pPr>
              <w:rPr>
                <w:rFonts w:hint="eastAsia" w:ascii="宋体" w:hAnsi="宋体" w:eastAsia="宋体" w:cs="宋体"/>
                <w:bCs/>
                <w:color w:val="auto"/>
                <w:kern w:val="0"/>
                <w:sz w:val="24"/>
                <w:szCs w:val="24"/>
                <w:lang w:bidi="ar-AE"/>
              </w:rPr>
            </w:pPr>
            <w:r>
              <w:rPr>
                <w:rFonts w:hint="eastAsia" w:ascii="宋体" w:hAnsi="宋体" w:eastAsia="宋体" w:cs="宋体"/>
                <w:bCs/>
                <w:color w:val="auto"/>
                <w:kern w:val="0"/>
                <w:sz w:val="24"/>
                <w:szCs w:val="24"/>
                <w:lang w:bidi="ar-AE"/>
              </w:rPr>
              <w:t>信阳市产业投资集团有限公司收购河南华英农业发展股份有限公司股权案</w:t>
            </w:r>
          </w:p>
        </w:tc>
      </w:tr>
      <w:tr w14:paraId="1B7F0088">
        <w:trPr>
          <w:trHeight w:val="1391" w:hRule="atLeast"/>
        </w:trPr>
        <w:tc>
          <w:tcPr>
            <w:tcW w:w="894" w:type="pct"/>
            <w:shd w:val="clear" w:color="auto" w:fill="D9D9D9"/>
            <w:vAlign w:val="center"/>
          </w:tcPr>
          <w:p w14:paraId="441747A1">
            <w:pPr>
              <w:pStyle w:val="2"/>
              <w:adjustRightInd w:val="0"/>
              <w:snapToGrid w:val="0"/>
              <w:spacing w:after="0"/>
              <w:rPr>
                <w:rFonts w:hint="eastAsia" w:ascii="宋体" w:hAnsi="宋体" w:eastAsia="宋体" w:cs="宋体"/>
                <w:bCs/>
                <w:color w:val="auto"/>
                <w:sz w:val="24"/>
                <w:szCs w:val="24"/>
                <w:lang w:val="en-US" w:eastAsia="zh-CN"/>
              </w:rPr>
            </w:pPr>
            <w:r>
              <w:rPr>
                <w:rFonts w:hint="eastAsia" w:ascii="宋体" w:hAnsi="宋体" w:eastAsia="宋体" w:cs="宋体"/>
                <w:bCs/>
                <w:color w:val="auto"/>
                <w:sz w:val="24"/>
                <w:szCs w:val="24"/>
                <w:lang w:eastAsia="zh-CN"/>
              </w:rPr>
              <w:t>交易概况（限200字内）</w:t>
            </w:r>
          </w:p>
        </w:tc>
        <w:tc>
          <w:tcPr>
            <w:tcW w:w="4105" w:type="pct"/>
            <w:gridSpan w:val="2"/>
            <w:vAlign w:val="center"/>
          </w:tcPr>
          <w:p w14:paraId="6D98B281">
            <w:pPr>
              <w:rPr>
                <w:rFonts w:hint="eastAsia" w:ascii="宋体" w:hAnsi="宋体" w:eastAsia="宋体" w:cs="宋体"/>
                <w:bCs/>
                <w:color w:val="auto"/>
                <w:kern w:val="0"/>
                <w:sz w:val="24"/>
                <w:szCs w:val="24"/>
                <w:lang w:val="en-GB" w:bidi="ar-AE"/>
              </w:rPr>
            </w:pPr>
            <w:r>
              <w:rPr>
                <w:rFonts w:hint="eastAsia" w:ascii="宋体" w:hAnsi="宋体" w:eastAsia="宋体" w:cs="宋体"/>
                <w:color w:val="auto"/>
                <w:kern w:val="0"/>
                <w:sz w:val="24"/>
                <w:szCs w:val="24"/>
                <w:lang w:bidi="ar-AE"/>
              </w:rPr>
              <w:t>信阳市产业投资集团有限公司（“信阳产投”）</w:t>
            </w:r>
            <w:r>
              <w:rPr>
                <w:rFonts w:hint="eastAsia" w:ascii="宋体" w:hAnsi="宋体" w:eastAsia="宋体" w:cs="宋体"/>
                <w:color w:val="auto"/>
                <w:kern w:val="0"/>
                <w:sz w:val="24"/>
                <w:szCs w:val="24"/>
                <w:lang w:val="en-US" w:eastAsia="zh-CN" w:bidi="ar-AE"/>
              </w:rPr>
              <w:t>与广汉东兴羽绒制品有限公司、杭州兴增企业管理有限公司签署《清算分配协议》，信阳产投收购河南华英农业发展股份有限公司（“华英农业”）共计16.90%的股份。华英农业主要从事羽绒与鸭食品业务。交易前，许水均间接持有华英农业24.31%的股份，单独控制华英农业。交易后，信阳产投将持有华英农业16.90%的股份，信阳产投单独控制华英农业。</w:t>
            </w:r>
          </w:p>
        </w:tc>
      </w:tr>
      <w:tr w14:paraId="5715E64D">
        <w:trPr>
          <w:trHeight w:val="942" w:hRule="atLeast"/>
        </w:trPr>
        <w:tc>
          <w:tcPr>
            <w:tcW w:w="894" w:type="pct"/>
            <w:vMerge w:val="restart"/>
            <w:shd w:val="clear" w:color="auto" w:fill="D9D9D9"/>
            <w:vAlign w:val="center"/>
          </w:tcPr>
          <w:p w14:paraId="4B6889B3">
            <w:pPr>
              <w:pStyle w:val="2"/>
              <w:adjustRightInd w:val="0"/>
              <w:snapToGrid w:val="0"/>
              <w:spacing w:after="0"/>
              <w:rPr>
                <w:rFonts w:hint="eastAsia" w:ascii="宋体" w:hAnsi="宋体" w:eastAsia="宋体" w:cs="宋体"/>
                <w:bCs/>
                <w:color w:val="auto"/>
                <w:sz w:val="24"/>
                <w:szCs w:val="24"/>
                <w:lang w:val="en-US" w:eastAsia="zh-CN"/>
              </w:rPr>
            </w:pPr>
            <w:r>
              <w:rPr>
                <w:rFonts w:hint="eastAsia" w:ascii="宋体" w:hAnsi="宋体" w:eastAsia="宋体" w:cs="宋体"/>
                <w:bCs/>
                <w:color w:val="auto"/>
                <w:sz w:val="24"/>
                <w:szCs w:val="24"/>
                <w:lang w:eastAsia="zh-CN"/>
              </w:rPr>
              <w:t>参与集中的经营者简介（每个限</w:t>
            </w:r>
            <w:r>
              <w:rPr>
                <w:rFonts w:hint="eastAsia" w:ascii="宋体" w:hAnsi="宋体" w:eastAsia="宋体" w:cs="宋体"/>
                <w:bCs/>
                <w:color w:val="auto"/>
                <w:sz w:val="24"/>
                <w:szCs w:val="24"/>
                <w:lang w:val="en-US" w:eastAsia="zh-CN"/>
              </w:rPr>
              <w:t>100字以内</w:t>
            </w:r>
            <w:r>
              <w:rPr>
                <w:rFonts w:hint="eastAsia" w:ascii="宋体" w:hAnsi="宋体" w:eastAsia="宋体" w:cs="宋体"/>
                <w:bCs/>
                <w:color w:val="auto"/>
                <w:sz w:val="24"/>
                <w:szCs w:val="24"/>
                <w:lang w:eastAsia="zh-CN"/>
              </w:rPr>
              <w:t>）</w:t>
            </w:r>
          </w:p>
        </w:tc>
        <w:tc>
          <w:tcPr>
            <w:tcW w:w="945" w:type="pct"/>
            <w:vAlign w:val="center"/>
          </w:tcPr>
          <w:p w14:paraId="3AFB60EF">
            <w:pPr>
              <w:pStyle w:val="2"/>
              <w:adjustRightInd w:val="0"/>
              <w:snapToGrid w:val="0"/>
              <w:spacing w:after="0"/>
              <w:rPr>
                <w:rFonts w:hint="eastAsia" w:ascii="宋体" w:hAnsi="宋体" w:eastAsia="宋体" w:cs="宋体"/>
                <w:bCs/>
                <w:color w:val="auto"/>
                <w:sz w:val="24"/>
                <w:szCs w:val="24"/>
                <w:lang w:eastAsia="zh-CN"/>
              </w:rPr>
            </w:pPr>
            <w:r>
              <w:rPr>
                <w:rFonts w:hint="eastAsia" w:ascii="宋体" w:hAnsi="宋体" w:eastAsia="宋体" w:cs="宋体"/>
                <w:bCs/>
                <w:color w:val="auto"/>
                <w:sz w:val="24"/>
                <w:szCs w:val="24"/>
                <w:lang w:val="en-US" w:eastAsia="zh-CN"/>
              </w:rPr>
              <w:t>1.信阳产投</w:t>
            </w:r>
          </w:p>
        </w:tc>
        <w:tc>
          <w:tcPr>
            <w:tcW w:w="3160" w:type="pct"/>
            <w:vAlign w:val="center"/>
          </w:tcPr>
          <w:p w14:paraId="65567794">
            <w:pPr>
              <w:rPr>
                <w:rFonts w:hint="eastAsia" w:ascii="宋体" w:hAnsi="宋体" w:eastAsia="宋体" w:cs="宋体"/>
                <w:bCs/>
                <w:color w:val="auto"/>
                <w:kern w:val="0"/>
                <w:sz w:val="24"/>
                <w:szCs w:val="24"/>
                <w:lang w:bidi="ar-AE"/>
              </w:rPr>
            </w:pPr>
            <w:r>
              <w:rPr>
                <w:rFonts w:hint="eastAsia" w:ascii="宋体" w:hAnsi="宋体" w:eastAsia="宋体" w:cs="宋体"/>
                <w:bCs/>
                <w:color w:val="auto"/>
                <w:kern w:val="0"/>
                <w:sz w:val="24"/>
                <w:szCs w:val="24"/>
                <w:lang w:bidi="ar-AE"/>
              </w:rPr>
              <w:t>信阳产投于2020年10月23日成立于河南省信阳市，主要业务为产业投资与资本运营。</w:t>
            </w:r>
          </w:p>
          <w:p w14:paraId="31BEBE99">
            <w:pPr>
              <w:rPr>
                <w:rFonts w:hint="eastAsia" w:ascii="宋体" w:hAnsi="宋体" w:eastAsia="宋体" w:cs="宋体"/>
                <w:bCs/>
                <w:color w:val="auto"/>
                <w:kern w:val="0"/>
                <w:sz w:val="24"/>
                <w:szCs w:val="24"/>
                <w:lang w:bidi="ar-AE"/>
              </w:rPr>
            </w:pPr>
            <w:r>
              <w:rPr>
                <w:rFonts w:hint="eastAsia" w:ascii="宋体" w:hAnsi="宋体" w:eastAsia="宋体" w:cs="宋体"/>
                <w:bCs/>
                <w:color w:val="auto"/>
                <w:kern w:val="0"/>
                <w:sz w:val="24"/>
                <w:szCs w:val="24"/>
                <w:lang w:bidi="ar-AE"/>
              </w:rPr>
              <w:t>信阳产投最终控制人为</w:t>
            </w:r>
            <w:r>
              <w:rPr>
                <w:rFonts w:hint="eastAsia" w:ascii="宋体" w:hAnsi="宋体" w:eastAsia="宋体" w:cs="宋体"/>
                <w:color w:val="auto"/>
                <w:sz w:val="24"/>
              </w:rPr>
              <w:t>信阳市国有资本运营有限公司，主要业务为国有资本投资</w:t>
            </w:r>
            <w:r>
              <w:rPr>
                <w:rFonts w:hint="eastAsia" w:ascii="宋体" w:hAnsi="宋体" w:eastAsia="宋体" w:cs="宋体"/>
                <w:bCs/>
                <w:color w:val="auto"/>
                <w:kern w:val="0"/>
                <w:sz w:val="24"/>
                <w:szCs w:val="24"/>
                <w:lang w:bidi="ar-AE"/>
              </w:rPr>
              <w:t>。</w:t>
            </w:r>
          </w:p>
        </w:tc>
      </w:tr>
      <w:tr w14:paraId="2AA4D5EA">
        <w:trPr>
          <w:trHeight w:val="984" w:hRule="atLeast"/>
        </w:trPr>
        <w:tc>
          <w:tcPr>
            <w:tcW w:w="894" w:type="pct"/>
            <w:vMerge w:val="continue"/>
            <w:shd w:val="clear" w:color="auto" w:fill="D9D9D9"/>
            <w:vAlign w:val="center"/>
          </w:tcPr>
          <w:p w14:paraId="2D238D16">
            <w:pPr>
              <w:pStyle w:val="2"/>
              <w:adjustRightInd w:val="0"/>
              <w:snapToGrid w:val="0"/>
              <w:spacing w:after="0"/>
              <w:rPr>
                <w:rFonts w:hint="eastAsia" w:ascii="宋体" w:hAnsi="宋体" w:eastAsia="宋体" w:cs="宋体"/>
                <w:bCs/>
                <w:color w:val="auto"/>
                <w:sz w:val="24"/>
                <w:szCs w:val="24"/>
                <w:lang w:val="en-US" w:eastAsia="zh-CN"/>
              </w:rPr>
            </w:pPr>
          </w:p>
        </w:tc>
        <w:tc>
          <w:tcPr>
            <w:tcW w:w="945" w:type="pct"/>
            <w:vAlign w:val="center"/>
          </w:tcPr>
          <w:p w14:paraId="51B9A5BD">
            <w:pPr>
              <w:pStyle w:val="2"/>
              <w:adjustRightInd w:val="0"/>
              <w:snapToGrid w:val="0"/>
              <w:spacing w:after="0"/>
              <w:rPr>
                <w:rFonts w:hint="eastAsia" w:ascii="宋体" w:hAnsi="宋体" w:eastAsia="宋体" w:cs="宋体"/>
                <w:bCs/>
                <w:color w:val="auto"/>
                <w:sz w:val="24"/>
                <w:szCs w:val="24"/>
                <w:lang w:eastAsia="zh-CN"/>
              </w:rPr>
            </w:pPr>
            <w:r>
              <w:rPr>
                <w:rFonts w:hint="eastAsia" w:ascii="宋体" w:hAnsi="宋体" w:eastAsia="宋体" w:cs="宋体"/>
                <w:bCs/>
                <w:color w:val="auto"/>
                <w:sz w:val="24"/>
                <w:szCs w:val="24"/>
                <w:lang w:val="en-US" w:eastAsia="zh-CN"/>
              </w:rPr>
              <w:t>2.华英农业</w:t>
            </w:r>
          </w:p>
        </w:tc>
        <w:tc>
          <w:tcPr>
            <w:tcW w:w="3160" w:type="pct"/>
            <w:vAlign w:val="center"/>
          </w:tcPr>
          <w:p w14:paraId="4D727F5C">
            <w:pPr>
              <w:rPr>
                <w:rFonts w:hint="eastAsia" w:ascii="宋体" w:hAnsi="宋体" w:eastAsia="宋体" w:cs="宋体"/>
                <w:bCs/>
                <w:color w:val="auto"/>
                <w:kern w:val="0"/>
                <w:sz w:val="24"/>
                <w:szCs w:val="24"/>
                <w:lang w:bidi="ar-AE"/>
              </w:rPr>
            </w:pPr>
            <w:r>
              <w:rPr>
                <w:rFonts w:hint="eastAsia" w:ascii="宋体" w:hAnsi="宋体" w:eastAsia="宋体" w:cs="宋体"/>
                <w:bCs/>
                <w:color w:val="auto"/>
                <w:kern w:val="0"/>
                <w:sz w:val="24"/>
                <w:szCs w:val="24"/>
                <w:lang w:bidi="ar-AE"/>
              </w:rPr>
              <w:t>华英农业于2002年1月30日成立于河南省信阳市，为深圳证券交易所上市公司，主要业务为羽绒</w:t>
            </w:r>
            <w:r>
              <w:rPr>
                <w:rFonts w:hint="eastAsia" w:ascii="宋体" w:hAnsi="宋体" w:eastAsia="宋体" w:cs="宋体"/>
                <w:bCs/>
                <w:color w:val="auto"/>
                <w:kern w:val="0"/>
                <w:sz w:val="24"/>
                <w:szCs w:val="24"/>
                <w:lang w:val="en-US" w:eastAsia="zh-CN" w:bidi="ar-AE"/>
              </w:rPr>
              <w:t>与鸭食品</w:t>
            </w:r>
            <w:r>
              <w:rPr>
                <w:rFonts w:hint="eastAsia" w:ascii="宋体" w:hAnsi="宋体" w:eastAsia="宋体" w:cs="宋体"/>
                <w:bCs/>
                <w:color w:val="auto"/>
                <w:kern w:val="0"/>
                <w:sz w:val="24"/>
                <w:szCs w:val="24"/>
                <w:lang w:bidi="ar-AE"/>
              </w:rPr>
              <w:t>。</w:t>
            </w:r>
          </w:p>
          <w:p w14:paraId="5D2C1A37">
            <w:pPr>
              <w:rPr>
                <w:rFonts w:hint="eastAsia" w:ascii="宋体" w:hAnsi="宋体" w:eastAsia="宋体" w:cs="宋体"/>
                <w:bCs/>
                <w:color w:val="auto"/>
                <w:kern w:val="0"/>
                <w:sz w:val="24"/>
                <w:szCs w:val="24"/>
                <w:lang w:val="en-GB" w:bidi="ar-AE"/>
              </w:rPr>
            </w:pPr>
            <w:r>
              <w:rPr>
                <w:rFonts w:hint="eastAsia" w:ascii="宋体" w:hAnsi="宋体" w:eastAsia="宋体" w:cs="宋体"/>
                <w:bCs/>
                <w:color w:val="auto"/>
                <w:kern w:val="0"/>
                <w:sz w:val="24"/>
                <w:szCs w:val="24"/>
                <w:lang w:bidi="ar-AE"/>
              </w:rPr>
              <w:t>华英农业最终控制人为自然人许水均，主要业务为羽绒、鸭食品等行业投资。</w:t>
            </w:r>
          </w:p>
        </w:tc>
      </w:tr>
      <w:tr w14:paraId="5786B631">
        <w:trPr>
          <w:trHeight w:val="279" w:hRule="atLeast"/>
        </w:trPr>
        <w:tc>
          <w:tcPr>
            <w:tcW w:w="894" w:type="pct"/>
            <w:vMerge w:val="restart"/>
            <w:shd w:val="clear" w:color="auto" w:fill="D9D9D9"/>
            <w:vAlign w:val="center"/>
          </w:tcPr>
          <w:p w14:paraId="69A185F9">
            <w:pPr>
              <w:pStyle w:val="2"/>
              <w:adjustRightInd w:val="0"/>
              <w:snapToGrid w:val="0"/>
              <w:spacing w:after="0"/>
              <w:rPr>
                <w:rFonts w:hint="eastAsia" w:ascii="宋体" w:hAnsi="宋体" w:eastAsia="宋体" w:cs="宋体"/>
                <w:bCs/>
                <w:color w:val="auto"/>
                <w:sz w:val="24"/>
                <w:szCs w:val="24"/>
                <w:lang w:val="en-US" w:eastAsia="zh-CN"/>
              </w:rPr>
            </w:pPr>
            <w:r>
              <w:rPr>
                <w:rFonts w:hint="eastAsia" w:ascii="宋体" w:hAnsi="宋体" w:eastAsia="宋体" w:cs="宋体"/>
                <w:bCs/>
                <w:color w:val="auto"/>
                <w:sz w:val="24"/>
                <w:szCs w:val="24"/>
                <w:lang w:eastAsia="zh-CN"/>
              </w:rPr>
              <w:t>简易案件理由（可以单选，也可以多选）</w:t>
            </w:r>
          </w:p>
        </w:tc>
        <w:tc>
          <w:tcPr>
            <w:tcW w:w="4105" w:type="pct"/>
            <w:gridSpan w:val="2"/>
            <w:vAlign w:val="center"/>
          </w:tcPr>
          <w:p w14:paraId="1C3E7B9B">
            <w:pPr>
              <w:pStyle w:val="2"/>
              <w:adjustRightInd w:val="0"/>
              <w:snapToGrid w:val="0"/>
              <w:spacing w:after="0"/>
              <w:rPr>
                <w:rFonts w:hint="eastAsia" w:ascii="宋体" w:hAnsi="宋体" w:eastAsia="宋体" w:cs="宋体"/>
                <w:bCs/>
                <w:color w:val="auto"/>
                <w:sz w:val="24"/>
                <w:szCs w:val="24"/>
                <w:lang w:val="en-US" w:eastAsia="zh-CN"/>
              </w:rPr>
            </w:pPr>
            <w:r>
              <w:rPr>
                <w:rFonts w:hint="eastAsia" w:ascii="宋体" w:hAnsi="宋体" w:eastAsia="宋体" w:cs="宋体"/>
                <w:bCs/>
                <w:color w:val="auto"/>
                <w:sz w:val="24"/>
                <w:szCs w:val="24"/>
                <w:lang w:eastAsia="zh-CN"/>
              </w:rPr>
              <w:sym w:font="Wingdings" w:char="00A8"/>
            </w:r>
            <w:r>
              <w:rPr>
                <w:rFonts w:hint="eastAsia" w:ascii="宋体" w:hAnsi="宋体" w:eastAsia="宋体" w:cs="宋体"/>
                <w:bCs/>
                <w:color w:val="auto"/>
                <w:sz w:val="24"/>
                <w:szCs w:val="24"/>
                <w:lang w:eastAsia="zh-CN"/>
              </w:rPr>
              <w:t xml:space="preserve"> 1</w:t>
            </w:r>
            <w:r>
              <w:rPr>
                <w:rFonts w:hint="eastAsia" w:ascii="宋体" w:hAnsi="宋体" w:eastAsia="宋体" w:cs="宋体"/>
                <w:bCs/>
                <w:color w:val="auto"/>
                <w:sz w:val="24"/>
                <w:szCs w:val="24"/>
                <w:lang w:val="en-US" w:eastAsia="zh-CN"/>
              </w:rPr>
              <w:t>.</w:t>
            </w:r>
            <w:r>
              <w:rPr>
                <w:rFonts w:hint="eastAsia" w:ascii="宋体" w:hAnsi="宋体" w:eastAsia="宋体" w:cs="宋体"/>
                <w:bCs/>
                <w:color w:val="auto"/>
                <w:sz w:val="24"/>
                <w:szCs w:val="24"/>
                <w:lang w:eastAsia="zh-CN"/>
              </w:rPr>
              <w:t>在同一相关市场，参与集中的经营者所占的市场份额之和小于15%。</w:t>
            </w:r>
          </w:p>
        </w:tc>
      </w:tr>
      <w:tr w14:paraId="68318059">
        <w:trPr>
          <w:trHeight w:val="330" w:hRule="atLeast"/>
        </w:trPr>
        <w:tc>
          <w:tcPr>
            <w:tcW w:w="894" w:type="pct"/>
            <w:vMerge w:val="continue"/>
            <w:shd w:val="clear" w:color="auto" w:fill="D9D9D9"/>
            <w:vAlign w:val="center"/>
          </w:tcPr>
          <w:p w14:paraId="6B0FC5EF">
            <w:pPr>
              <w:pStyle w:val="2"/>
              <w:adjustRightInd w:val="0"/>
              <w:snapToGrid w:val="0"/>
              <w:spacing w:after="0"/>
              <w:rPr>
                <w:rFonts w:hint="eastAsia" w:ascii="宋体" w:hAnsi="宋体" w:eastAsia="宋体" w:cs="宋体"/>
                <w:bCs/>
                <w:color w:val="auto"/>
                <w:sz w:val="24"/>
                <w:szCs w:val="24"/>
                <w:lang w:val="en-US" w:eastAsia="zh-CN"/>
              </w:rPr>
            </w:pPr>
          </w:p>
        </w:tc>
        <w:tc>
          <w:tcPr>
            <w:tcW w:w="4105" w:type="pct"/>
            <w:gridSpan w:val="2"/>
            <w:vAlign w:val="center"/>
          </w:tcPr>
          <w:p w14:paraId="7B37DEFD">
            <w:pPr>
              <w:pStyle w:val="2"/>
              <w:adjustRightInd w:val="0"/>
              <w:snapToGrid w:val="0"/>
              <w:spacing w:after="0"/>
              <w:rPr>
                <w:rFonts w:hint="eastAsia" w:ascii="宋体" w:hAnsi="宋体" w:eastAsia="宋体" w:cs="宋体"/>
                <w:bCs/>
                <w:color w:val="auto"/>
                <w:sz w:val="24"/>
                <w:szCs w:val="24"/>
                <w:lang w:val="en-US" w:eastAsia="zh-CN"/>
              </w:rPr>
            </w:pPr>
            <w:r>
              <w:rPr>
                <w:rFonts w:hint="eastAsia" w:ascii="宋体" w:hAnsi="宋体" w:eastAsia="宋体" w:cs="宋体"/>
                <w:bCs/>
                <w:color w:val="auto"/>
                <w:sz w:val="24"/>
                <w:szCs w:val="24"/>
                <w:lang w:eastAsia="zh-CN"/>
              </w:rPr>
              <w:sym w:font="Wingdings" w:char="00A8"/>
            </w:r>
            <w:r>
              <w:rPr>
                <w:rFonts w:hint="eastAsia" w:ascii="宋体" w:hAnsi="宋体" w:eastAsia="宋体" w:cs="宋体"/>
                <w:bCs/>
                <w:color w:val="auto"/>
                <w:sz w:val="24"/>
                <w:szCs w:val="24"/>
                <w:lang w:eastAsia="zh-CN"/>
              </w:rPr>
              <w:t xml:space="preserve"> 2</w:t>
            </w:r>
            <w:r>
              <w:rPr>
                <w:rFonts w:hint="eastAsia" w:ascii="宋体" w:hAnsi="宋体" w:eastAsia="宋体" w:cs="宋体"/>
                <w:bCs/>
                <w:color w:val="auto"/>
                <w:sz w:val="24"/>
                <w:szCs w:val="24"/>
                <w:lang w:val="en-US" w:eastAsia="zh-CN"/>
              </w:rPr>
              <w:t>.</w:t>
            </w:r>
            <w:r>
              <w:rPr>
                <w:rFonts w:hint="eastAsia" w:ascii="宋体" w:hAnsi="宋体" w:eastAsia="宋体" w:cs="宋体"/>
                <w:bCs/>
                <w:color w:val="auto"/>
                <w:sz w:val="24"/>
                <w:szCs w:val="24"/>
                <w:lang w:eastAsia="zh-CN"/>
              </w:rPr>
              <w:t>在上下游市场，参与集中的经营者所占的市场份额均小于25%。</w:t>
            </w:r>
          </w:p>
        </w:tc>
      </w:tr>
      <w:tr w14:paraId="41C9B457">
        <w:trPr>
          <w:trHeight w:val="285" w:hRule="atLeast"/>
        </w:trPr>
        <w:tc>
          <w:tcPr>
            <w:tcW w:w="894" w:type="pct"/>
            <w:vMerge w:val="continue"/>
            <w:shd w:val="clear" w:color="auto" w:fill="D9D9D9"/>
            <w:vAlign w:val="center"/>
          </w:tcPr>
          <w:p w14:paraId="7F746F5F">
            <w:pPr>
              <w:pStyle w:val="2"/>
              <w:adjustRightInd w:val="0"/>
              <w:snapToGrid w:val="0"/>
              <w:spacing w:after="0"/>
              <w:rPr>
                <w:rFonts w:hint="eastAsia" w:ascii="宋体" w:hAnsi="宋体" w:eastAsia="宋体" w:cs="宋体"/>
                <w:bCs/>
                <w:color w:val="auto"/>
                <w:sz w:val="24"/>
                <w:szCs w:val="24"/>
                <w:lang w:val="en-US" w:eastAsia="zh-CN"/>
              </w:rPr>
            </w:pPr>
          </w:p>
        </w:tc>
        <w:tc>
          <w:tcPr>
            <w:tcW w:w="4105" w:type="pct"/>
            <w:gridSpan w:val="2"/>
            <w:vAlign w:val="center"/>
          </w:tcPr>
          <w:p w14:paraId="3187A9B0">
            <w:pPr>
              <w:pStyle w:val="2"/>
              <w:adjustRightInd w:val="0"/>
              <w:snapToGrid w:val="0"/>
              <w:spacing w:after="0"/>
              <w:rPr>
                <w:rFonts w:hint="eastAsia" w:ascii="宋体" w:hAnsi="宋体" w:eastAsia="宋体" w:cs="宋体"/>
                <w:bCs/>
                <w:color w:val="auto"/>
                <w:sz w:val="24"/>
                <w:szCs w:val="24"/>
                <w:lang w:val="en-US" w:eastAsia="zh-CN"/>
              </w:rPr>
            </w:pPr>
            <w:r>
              <w:rPr>
                <w:rFonts w:hint="eastAsia" w:ascii="宋体" w:hAnsi="宋体" w:eastAsia="宋体" w:cs="宋体"/>
                <w:bCs/>
                <w:color w:val="auto"/>
                <w:sz w:val="24"/>
                <w:szCs w:val="24"/>
                <w:lang w:eastAsia="zh-CN"/>
              </w:rPr>
              <w:sym w:font="Wingdings" w:char="00FE"/>
            </w:r>
            <w:r>
              <w:rPr>
                <w:rFonts w:hint="eastAsia" w:ascii="宋体" w:hAnsi="宋体" w:eastAsia="宋体" w:cs="宋体"/>
                <w:bCs/>
                <w:color w:val="auto"/>
                <w:sz w:val="24"/>
                <w:szCs w:val="24"/>
                <w:lang w:eastAsia="zh-CN"/>
              </w:rPr>
              <w:t xml:space="preserve"> 3</w:t>
            </w:r>
            <w:r>
              <w:rPr>
                <w:rFonts w:hint="eastAsia" w:ascii="宋体" w:hAnsi="宋体" w:eastAsia="宋体" w:cs="宋体"/>
                <w:bCs/>
                <w:color w:val="auto"/>
                <w:sz w:val="24"/>
                <w:szCs w:val="24"/>
                <w:lang w:val="en-US" w:eastAsia="zh-CN"/>
              </w:rPr>
              <w:t>.</w:t>
            </w:r>
            <w:r>
              <w:rPr>
                <w:rFonts w:hint="eastAsia" w:ascii="宋体" w:hAnsi="宋体" w:eastAsia="宋体" w:cs="宋体"/>
                <w:bCs/>
                <w:color w:val="auto"/>
                <w:sz w:val="24"/>
                <w:szCs w:val="24"/>
                <w:lang w:eastAsia="zh-CN"/>
              </w:rPr>
              <w:t>不在同一相关市场也不存在上下游关系的参与集中的经营者，在与交易有关的每个市场所占的市场份额均小于25%。</w:t>
            </w:r>
          </w:p>
        </w:tc>
      </w:tr>
      <w:tr w14:paraId="5DADAB61">
        <w:trPr>
          <w:trHeight w:val="870" w:hRule="atLeast"/>
        </w:trPr>
        <w:tc>
          <w:tcPr>
            <w:tcW w:w="894" w:type="pct"/>
            <w:vMerge w:val="continue"/>
            <w:shd w:val="clear" w:color="auto" w:fill="D9D9D9"/>
            <w:vAlign w:val="center"/>
          </w:tcPr>
          <w:p w14:paraId="5CFB2399">
            <w:pPr>
              <w:pStyle w:val="2"/>
              <w:adjustRightInd w:val="0"/>
              <w:snapToGrid w:val="0"/>
              <w:spacing w:after="0"/>
              <w:rPr>
                <w:rFonts w:hint="eastAsia" w:ascii="宋体" w:hAnsi="宋体" w:eastAsia="宋体" w:cs="宋体"/>
                <w:bCs/>
                <w:color w:val="auto"/>
                <w:sz w:val="24"/>
                <w:szCs w:val="24"/>
                <w:lang w:val="en-US" w:eastAsia="zh-CN"/>
              </w:rPr>
            </w:pPr>
          </w:p>
        </w:tc>
        <w:tc>
          <w:tcPr>
            <w:tcW w:w="4105" w:type="pct"/>
            <w:gridSpan w:val="2"/>
            <w:vAlign w:val="center"/>
          </w:tcPr>
          <w:p w14:paraId="62400C6B">
            <w:pPr>
              <w:pStyle w:val="2"/>
              <w:adjustRightInd w:val="0"/>
              <w:snapToGrid w:val="0"/>
              <w:spacing w:after="0"/>
              <w:rPr>
                <w:rFonts w:hint="eastAsia" w:ascii="宋体" w:hAnsi="宋体" w:eastAsia="宋体" w:cs="宋体"/>
                <w:bCs/>
                <w:color w:val="auto"/>
                <w:sz w:val="24"/>
                <w:szCs w:val="24"/>
                <w:lang w:val="en-US" w:eastAsia="zh-CN"/>
              </w:rPr>
            </w:pPr>
            <w:r>
              <w:rPr>
                <w:rFonts w:hint="eastAsia" w:ascii="宋体" w:hAnsi="宋体" w:eastAsia="宋体" w:cs="宋体"/>
                <w:bCs/>
                <w:color w:val="auto"/>
                <w:sz w:val="24"/>
                <w:szCs w:val="24"/>
                <w:lang w:eastAsia="zh-CN"/>
              </w:rPr>
              <w:sym w:font="Wingdings" w:char="00A8"/>
            </w:r>
            <w:r>
              <w:rPr>
                <w:rFonts w:hint="eastAsia" w:ascii="宋体" w:hAnsi="宋体" w:eastAsia="宋体" w:cs="宋体"/>
                <w:bCs/>
                <w:color w:val="auto"/>
                <w:sz w:val="24"/>
                <w:szCs w:val="24"/>
                <w:lang w:eastAsia="zh-CN"/>
              </w:rPr>
              <w:t xml:space="preserve"> 4</w:t>
            </w:r>
            <w:r>
              <w:rPr>
                <w:rFonts w:hint="eastAsia" w:ascii="宋体" w:hAnsi="宋体" w:eastAsia="宋体" w:cs="宋体"/>
                <w:bCs/>
                <w:color w:val="auto"/>
                <w:sz w:val="24"/>
                <w:szCs w:val="24"/>
                <w:lang w:val="en-US" w:eastAsia="zh-CN"/>
              </w:rPr>
              <w:t>.</w:t>
            </w:r>
            <w:r>
              <w:rPr>
                <w:rFonts w:hint="eastAsia" w:ascii="宋体" w:hAnsi="宋体" w:eastAsia="宋体" w:cs="宋体"/>
                <w:bCs/>
                <w:color w:val="auto"/>
                <w:sz w:val="24"/>
                <w:szCs w:val="24"/>
                <w:lang w:eastAsia="zh-CN"/>
              </w:rPr>
              <w:t>参与集中的经营者在中国境外设立合营企业，合营企业不在中国境内从事经济活动。</w:t>
            </w:r>
          </w:p>
        </w:tc>
      </w:tr>
      <w:tr w14:paraId="43AD804F">
        <w:trPr>
          <w:trHeight w:val="264" w:hRule="atLeast"/>
        </w:trPr>
        <w:tc>
          <w:tcPr>
            <w:tcW w:w="894" w:type="pct"/>
            <w:vMerge w:val="continue"/>
            <w:shd w:val="clear" w:color="auto" w:fill="D9D9D9"/>
            <w:vAlign w:val="center"/>
          </w:tcPr>
          <w:p w14:paraId="23AB8EF8">
            <w:pPr>
              <w:pStyle w:val="2"/>
              <w:adjustRightInd w:val="0"/>
              <w:snapToGrid w:val="0"/>
              <w:spacing w:after="0"/>
              <w:rPr>
                <w:rFonts w:hint="eastAsia" w:ascii="宋体" w:hAnsi="宋体" w:eastAsia="宋体" w:cs="宋体"/>
                <w:bCs/>
                <w:color w:val="auto"/>
                <w:sz w:val="24"/>
                <w:szCs w:val="24"/>
                <w:lang w:val="en-US" w:eastAsia="zh-CN"/>
              </w:rPr>
            </w:pPr>
          </w:p>
        </w:tc>
        <w:tc>
          <w:tcPr>
            <w:tcW w:w="4105" w:type="pct"/>
            <w:gridSpan w:val="2"/>
            <w:vAlign w:val="center"/>
          </w:tcPr>
          <w:p w14:paraId="7BED51B7">
            <w:pPr>
              <w:pStyle w:val="2"/>
              <w:adjustRightInd w:val="0"/>
              <w:snapToGrid w:val="0"/>
              <w:spacing w:after="0"/>
              <w:rPr>
                <w:rFonts w:hint="eastAsia" w:ascii="宋体" w:hAnsi="宋体" w:eastAsia="宋体" w:cs="宋体"/>
                <w:bCs/>
                <w:color w:val="auto"/>
                <w:sz w:val="24"/>
                <w:szCs w:val="24"/>
                <w:lang w:val="en-US" w:eastAsia="zh-CN"/>
              </w:rPr>
            </w:pPr>
            <w:r>
              <w:rPr>
                <w:rFonts w:hint="eastAsia" w:ascii="宋体" w:hAnsi="宋体" w:eastAsia="宋体" w:cs="宋体"/>
                <w:bCs/>
                <w:color w:val="auto"/>
                <w:sz w:val="24"/>
                <w:szCs w:val="24"/>
                <w:lang w:eastAsia="zh-CN"/>
              </w:rPr>
              <w:sym w:font="Wingdings" w:char="00A8"/>
            </w:r>
            <w:r>
              <w:rPr>
                <w:rFonts w:hint="eastAsia" w:ascii="宋体" w:hAnsi="宋体" w:eastAsia="宋体" w:cs="宋体"/>
                <w:bCs/>
                <w:color w:val="auto"/>
                <w:sz w:val="24"/>
                <w:szCs w:val="24"/>
                <w:lang w:eastAsia="zh-CN"/>
              </w:rPr>
              <w:t xml:space="preserve"> 5</w:t>
            </w:r>
            <w:r>
              <w:rPr>
                <w:rFonts w:hint="eastAsia" w:ascii="宋体" w:hAnsi="宋体" w:eastAsia="宋体" w:cs="宋体"/>
                <w:bCs/>
                <w:color w:val="auto"/>
                <w:sz w:val="24"/>
                <w:szCs w:val="24"/>
                <w:lang w:val="en-US" w:eastAsia="zh-CN"/>
              </w:rPr>
              <w:t>.</w:t>
            </w:r>
            <w:r>
              <w:rPr>
                <w:rFonts w:hint="eastAsia" w:ascii="宋体" w:hAnsi="宋体" w:eastAsia="宋体" w:cs="宋体"/>
                <w:bCs/>
                <w:color w:val="auto"/>
                <w:sz w:val="24"/>
                <w:szCs w:val="24"/>
                <w:lang w:eastAsia="zh-CN"/>
              </w:rPr>
              <w:t>参与集中的经营者收购境外企业股权或资产的，该境外企业不在中国境内从事经济活动。</w:t>
            </w:r>
          </w:p>
        </w:tc>
      </w:tr>
      <w:tr w14:paraId="373577F0">
        <w:trPr>
          <w:trHeight w:val="345" w:hRule="atLeast"/>
        </w:trPr>
        <w:tc>
          <w:tcPr>
            <w:tcW w:w="894" w:type="pct"/>
            <w:vMerge w:val="continue"/>
            <w:shd w:val="clear" w:color="auto" w:fill="D9D9D9"/>
            <w:vAlign w:val="center"/>
          </w:tcPr>
          <w:p w14:paraId="18499E9E">
            <w:pPr>
              <w:pStyle w:val="2"/>
              <w:adjustRightInd w:val="0"/>
              <w:snapToGrid w:val="0"/>
              <w:spacing w:after="0"/>
              <w:rPr>
                <w:rFonts w:hint="eastAsia" w:ascii="宋体" w:hAnsi="宋体" w:eastAsia="宋体" w:cs="宋体"/>
                <w:bCs/>
                <w:color w:val="auto"/>
                <w:sz w:val="24"/>
                <w:szCs w:val="24"/>
                <w:lang w:val="en-US" w:eastAsia="zh-CN"/>
              </w:rPr>
            </w:pPr>
          </w:p>
        </w:tc>
        <w:tc>
          <w:tcPr>
            <w:tcW w:w="4105" w:type="pct"/>
            <w:gridSpan w:val="2"/>
            <w:vAlign w:val="center"/>
          </w:tcPr>
          <w:p w14:paraId="3BB0EE58">
            <w:pPr>
              <w:pStyle w:val="2"/>
              <w:adjustRightInd w:val="0"/>
              <w:snapToGrid w:val="0"/>
              <w:spacing w:after="0"/>
              <w:rPr>
                <w:rFonts w:hint="eastAsia" w:ascii="宋体" w:hAnsi="宋体" w:eastAsia="宋体" w:cs="宋体"/>
                <w:bCs/>
                <w:color w:val="auto"/>
                <w:sz w:val="24"/>
                <w:szCs w:val="24"/>
                <w:lang w:val="en-US" w:eastAsia="zh-CN"/>
              </w:rPr>
            </w:pPr>
            <w:r>
              <w:rPr>
                <w:rFonts w:hint="eastAsia" w:ascii="宋体" w:hAnsi="宋体" w:eastAsia="宋体" w:cs="宋体"/>
                <w:bCs/>
                <w:color w:val="auto"/>
                <w:sz w:val="24"/>
                <w:szCs w:val="24"/>
                <w:lang w:eastAsia="zh-CN"/>
              </w:rPr>
              <w:sym w:font="Wingdings" w:char="00A8"/>
            </w:r>
            <w:r>
              <w:rPr>
                <w:rFonts w:hint="eastAsia" w:ascii="宋体" w:hAnsi="宋体" w:eastAsia="宋体" w:cs="宋体"/>
                <w:bCs/>
                <w:color w:val="auto"/>
                <w:sz w:val="24"/>
                <w:szCs w:val="24"/>
                <w:lang w:eastAsia="zh-CN"/>
              </w:rPr>
              <w:t xml:space="preserve"> 6</w:t>
            </w:r>
            <w:r>
              <w:rPr>
                <w:rFonts w:hint="eastAsia" w:ascii="宋体" w:hAnsi="宋体" w:eastAsia="宋体" w:cs="宋体"/>
                <w:bCs/>
                <w:color w:val="auto"/>
                <w:sz w:val="24"/>
                <w:szCs w:val="24"/>
                <w:lang w:val="en-US" w:eastAsia="zh-CN"/>
              </w:rPr>
              <w:t>.</w:t>
            </w:r>
            <w:r>
              <w:rPr>
                <w:rFonts w:hint="eastAsia" w:ascii="宋体" w:hAnsi="宋体" w:eastAsia="宋体" w:cs="宋体"/>
                <w:bCs/>
                <w:color w:val="auto"/>
                <w:sz w:val="24"/>
                <w:szCs w:val="24"/>
                <w:lang w:eastAsia="zh-CN"/>
              </w:rPr>
              <w:t>由两个以上的经营者共同控制的合营企业，通过集中被其中一个或一个以上经营者控制。</w:t>
            </w:r>
          </w:p>
        </w:tc>
      </w:tr>
      <w:tr w14:paraId="39D9207E">
        <w:trPr>
          <w:trHeight w:val="1250" w:hRule="atLeast"/>
        </w:trPr>
        <w:tc>
          <w:tcPr>
            <w:tcW w:w="894" w:type="pct"/>
            <w:shd w:val="clear" w:color="auto" w:fill="D9D9D9"/>
            <w:vAlign w:val="center"/>
          </w:tcPr>
          <w:p w14:paraId="51E9EF78">
            <w:pPr>
              <w:pStyle w:val="2"/>
              <w:adjustRightInd w:val="0"/>
              <w:snapToGrid w:val="0"/>
              <w:spacing w:after="0"/>
              <w:rPr>
                <w:rFonts w:hint="eastAsia" w:ascii="宋体" w:hAnsi="宋体" w:eastAsia="宋体" w:cs="宋体"/>
                <w:bCs/>
                <w:color w:val="auto"/>
                <w:sz w:val="24"/>
                <w:szCs w:val="24"/>
                <w:lang w:val="en-US" w:eastAsia="zh-CN"/>
              </w:rPr>
            </w:pPr>
            <w:r>
              <w:rPr>
                <w:rFonts w:hint="eastAsia" w:ascii="宋体" w:hAnsi="宋体" w:eastAsia="宋体" w:cs="宋体"/>
                <w:bCs/>
                <w:color w:val="auto"/>
                <w:sz w:val="24"/>
                <w:szCs w:val="24"/>
                <w:lang w:val="en-US" w:eastAsia="zh-CN"/>
              </w:rPr>
              <w:t>备注</w:t>
            </w:r>
          </w:p>
        </w:tc>
        <w:tc>
          <w:tcPr>
            <w:tcW w:w="4105" w:type="pct"/>
            <w:gridSpan w:val="2"/>
            <w:vAlign w:val="center"/>
          </w:tcPr>
          <w:p w14:paraId="0677AE44">
            <w:pPr>
              <w:spacing w:line="360" w:lineRule="exact"/>
              <w:rPr>
                <w:rFonts w:hint="eastAsia" w:ascii="宋体" w:hAnsi="宋体" w:eastAsia="宋体" w:cs="宋体"/>
                <w:b/>
                <w:bCs/>
                <w:color w:val="auto"/>
                <w:sz w:val="24"/>
                <w:szCs w:val="24"/>
              </w:rPr>
            </w:pPr>
            <w:r>
              <w:rPr>
                <w:rFonts w:hint="eastAsia" w:ascii="宋体" w:hAnsi="宋体" w:eastAsia="宋体" w:cs="宋体"/>
                <w:b/>
                <w:bCs/>
                <w:color w:val="auto"/>
                <w:sz w:val="24"/>
                <w:szCs w:val="24"/>
              </w:rPr>
              <w:t>混合集中：</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6"/>
              <w:gridCol w:w="1984"/>
              <w:gridCol w:w="2191"/>
            </w:tblGrid>
            <w:tr w14:paraId="1013C237">
              <w:trPr>
                <w:jc w:val="center"/>
              </w:trPr>
              <w:tc>
                <w:tcPr>
                  <w:tcW w:w="2146" w:type="dxa"/>
                  <w:shd w:val="clear" w:color="auto" w:fill="auto"/>
                  <w:vAlign w:val="center"/>
                </w:tcPr>
                <w:p w14:paraId="778DC871">
                  <w:pPr>
                    <w:spacing w:line="360" w:lineRule="exact"/>
                    <w:jc w:val="center"/>
                    <w:rPr>
                      <w:rFonts w:hint="eastAsia" w:ascii="宋体" w:hAnsi="宋体" w:eastAsia="宋体" w:cs="宋体"/>
                      <w:b/>
                      <w:color w:val="auto"/>
                      <w:sz w:val="24"/>
                      <w:szCs w:val="24"/>
                      <w:shd w:val="clear" w:color="auto" w:fill="auto"/>
                    </w:rPr>
                  </w:pPr>
                  <w:r>
                    <w:rPr>
                      <w:rFonts w:hint="eastAsia" w:ascii="宋体" w:hAnsi="宋体" w:eastAsia="宋体" w:cs="宋体"/>
                      <w:b/>
                      <w:color w:val="auto"/>
                      <w:sz w:val="24"/>
                      <w:szCs w:val="24"/>
                      <w:shd w:val="clear" w:color="auto" w:fill="auto"/>
                    </w:rPr>
                    <w:t>相关商品市场</w:t>
                  </w:r>
                </w:p>
              </w:tc>
              <w:tc>
                <w:tcPr>
                  <w:tcW w:w="1984" w:type="dxa"/>
                  <w:shd w:val="clear" w:color="auto" w:fill="auto"/>
                  <w:vAlign w:val="center"/>
                </w:tcPr>
                <w:p w14:paraId="1BC03E1F">
                  <w:pPr>
                    <w:spacing w:line="360" w:lineRule="exact"/>
                    <w:jc w:val="center"/>
                    <w:rPr>
                      <w:rFonts w:hint="eastAsia" w:ascii="宋体" w:hAnsi="宋体" w:eastAsia="宋体" w:cs="宋体"/>
                      <w:b/>
                      <w:color w:val="auto"/>
                      <w:sz w:val="24"/>
                      <w:szCs w:val="24"/>
                      <w:shd w:val="clear" w:color="auto" w:fill="auto"/>
                    </w:rPr>
                  </w:pPr>
                  <w:r>
                    <w:rPr>
                      <w:rFonts w:hint="eastAsia" w:ascii="宋体" w:hAnsi="宋体" w:eastAsia="宋体" w:cs="宋体"/>
                      <w:b/>
                      <w:color w:val="auto"/>
                      <w:sz w:val="24"/>
                      <w:szCs w:val="24"/>
                      <w:shd w:val="clear" w:color="auto" w:fill="auto"/>
                    </w:rPr>
                    <w:t>相关地域市场</w:t>
                  </w:r>
                </w:p>
              </w:tc>
              <w:tc>
                <w:tcPr>
                  <w:tcW w:w="2191" w:type="dxa"/>
                  <w:shd w:val="clear" w:color="auto" w:fill="auto"/>
                  <w:vAlign w:val="center"/>
                </w:tcPr>
                <w:p w14:paraId="72FE15FD">
                  <w:pPr>
                    <w:spacing w:line="360" w:lineRule="exact"/>
                    <w:jc w:val="center"/>
                    <w:rPr>
                      <w:rFonts w:hint="eastAsia" w:ascii="宋体" w:hAnsi="宋体" w:eastAsia="宋体" w:cs="宋体"/>
                      <w:b/>
                      <w:color w:val="auto"/>
                      <w:sz w:val="24"/>
                      <w:szCs w:val="24"/>
                      <w:shd w:val="clear" w:color="auto" w:fill="auto"/>
                    </w:rPr>
                  </w:pPr>
                  <w:r>
                    <w:rPr>
                      <w:rFonts w:hint="eastAsia" w:ascii="宋体" w:hAnsi="宋体" w:cs="宋体"/>
                      <w:b/>
                      <w:color w:val="auto"/>
                      <w:sz w:val="24"/>
                      <w:szCs w:val="24"/>
                      <w:shd w:val="clear" w:color="auto" w:fill="auto"/>
                      <w:lang w:val="en-US" w:eastAsia="zh-CN"/>
                    </w:rPr>
                    <w:t>2025年</w:t>
                  </w:r>
                  <w:r>
                    <w:rPr>
                      <w:rFonts w:hint="eastAsia" w:ascii="宋体" w:hAnsi="宋体" w:eastAsia="宋体" w:cs="宋体"/>
                      <w:b/>
                      <w:color w:val="auto"/>
                      <w:sz w:val="24"/>
                      <w:szCs w:val="24"/>
                      <w:shd w:val="clear" w:color="auto" w:fill="auto"/>
                    </w:rPr>
                    <w:t>市场份额</w:t>
                  </w:r>
                </w:p>
              </w:tc>
            </w:tr>
            <w:tr w14:paraId="330123A7">
              <w:trPr>
                <w:jc w:val="center"/>
              </w:trPr>
              <w:tc>
                <w:tcPr>
                  <w:tcW w:w="2146" w:type="dxa"/>
                  <w:shd w:val="clear" w:color="auto" w:fill="auto"/>
                  <w:vAlign w:val="center"/>
                </w:tcPr>
                <w:p w14:paraId="234E3C03">
                  <w:pPr>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鸭绒</w:t>
                  </w:r>
                  <w:r>
                    <w:rPr>
                      <w:rFonts w:hint="eastAsia" w:ascii="宋体" w:hAnsi="宋体" w:cs="宋体"/>
                      <w:color w:val="auto"/>
                      <w:sz w:val="24"/>
                      <w:szCs w:val="24"/>
                      <w:lang w:val="en-US" w:eastAsia="zh-CN"/>
                    </w:rPr>
                    <w:t>市场</w:t>
                  </w:r>
                </w:p>
              </w:tc>
              <w:tc>
                <w:tcPr>
                  <w:tcW w:w="1984" w:type="dxa"/>
                  <w:shd w:val="clear" w:color="auto" w:fill="auto"/>
                  <w:vAlign w:val="center"/>
                </w:tcPr>
                <w:p w14:paraId="636353E5">
                  <w:pPr>
                    <w:spacing w:line="360" w:lineRule="exact"/>
                    <w:jc w:val="center"/>
                    <w:rPr>
                      <w:rFonts w:hint="eastAsia" w:ascii="宋体" w:hAnsi="宋体" w:eastAsia="宋体" w:cs="宋体"/>
                      <w:color w:val="auto"/>
                      <w:sz w:val="24"/>
                      <w:szCs w:val="24"/>
                    </w:rPr>
                  </w:pPr>
                  <w:r>
                    <w:rPr>
                      <w:rFonts w:hint="eastAsia" w:ascii="宋体" w:hAnsi="宋体" w:eastAsia="宋体" w:cs="宋体"/>
                      <w:color w:val="auto"/>
                      <w:sz w:val="24"/>
                      <w:szCs w:val="24"/>
                    </w:rPr>
                    <w:t>中国境内</w:t>
                  </w:r>
                </w:p>
              </w:tc>
              <w:tc>
                <w:tcPr>
                  <w:tcW w:w="2191" w:type="dxa"/>
                  <w:shd w:val="clear" w:color="auto" w:fill="auto"/>
                  <w:vAlign w:val="center"/>
                </w:tcPr>
                <w:p w14:paraId="7A439B2E">
                  <w:pPr>
                    <w:spacing w:line="360" w:lineRule="exact"/>
                    <w:jc w:val="center"/>
                    <w:rPr>
                      <w:rFonts w:hint="eastAsia" w:ascii="宋体" w:hAnsi="宋体" w:eastAsia="宋体" w:cs="宋体"/>
                      <w:color w:val="auto"/>
                      <w:sz w:val="24"/>
                      <w:szCs w:val="24"/>
                    </w:rPr>
                  </w:pPr>
                  <w:r>
                    <w:rPr>
                      <w:rFonts w:hint="eastAsia" w:ascii="宋体" w:hAnsi="宋体" w:eastAsia="宋体" w:cs="宋体"/>
                      <w:color w:val="auto"/>
                      <w:kern w:val="2"/>
                      <w:sz w:val="24"/>
                      <w:szCs w:val="24"/>
                      <w:lang w:val="en-US" w:eastAsia="zh-CN" w:bidi="ar-SA"/>
                    </w:rPr>
                    <w:t>华英农业：0-5%</w:t>
                  </w:r>
                </w:p>
              </w:tc>
            </w:tr>
            <w:tr w14:paraId="5AF43DE9">
              <w:trPr>
                <w:jc w:val="center"/>
              </w:trPr>
              <w:tc>
                <w:tcPr>
                  <w:tcW w:w="2146" w:type="dxa"/>
                  <w:shd w:val="clear" w:color="auto" w:fill="auto"/>
                  <w:vAlign w:val="center"/>
                </w:tcPr>
                <w:p w14:paraId="7BD3C605">
                  <w:pPr>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冷冻鸭肉</w:t>
                  </w:r>
                  <w:r>
                    <w:rPr>
                      <w:rFonts w:hint="eastAsia" w:ascii="宋体" w:hAnsi="宋体" w:cs="宋体"/>
                      <w:color w:val="auto"/>
                      <w:sz w:val="24"/>
                      <w:szCs w:val="24"/>
                      <w:lang w:val="en-US" w:eastAsia="zh-CN"/>
                    </w:rPr>
                    <w:t>市场</w:t>
                  </w:r>
                </w:p>
              </w:tc>
              <w:tc>
                <w:tcPr>
                  <w:tcW w:w="1984" w:type="dxa"/>
                  <w:shd w:val="clear" w:color="auto" w:fill="auto"/>
                  <w:vAlign w:val="center"/>
                </w:tcPr>
                <w:p w14:paraId="201CCFA9">
                  <w:pPr>
                    <w:spacing w:line="360" w:lineRule="exact"/>
                    <w:jc w:val="center"/>
                    <w:rPr>
                      <w:rFonts w:hint="eastAsia" w:ascii="宋体" w:hAnsi="宋体" w:eastAsia="宋体" w:cs="宋体"/>
                      <w:color w:val="auto"/>
                      <w:sz w:val="24"/>
                      <w:szCs w:val="24"/>
                    </w:rPr>
                  </w:pPr>
                  <w:r>
                    <w:rPr>
                      <w:rFonts w:hint="eastAsia" w:ascii="宋体" w:hAnsi="宋体" w:eastAsia="宋体" w:cs="宋体"/>
                      <w:color w:val="auto"/>
                      <w:sz w:val="24"/>
                      <w:szCs w:val="24"/>
                    </w:rPr>
                    <w:t>中国境内</w:t>
                  </w:r>
                </w:p>
              </w:tc>
              <w:tc>
                <w:tcPr>
                  <w:tcW w:w="2191" w:type="dxa"/>
                  <w:shd w:val="clear" w:color="auto" w:fill="auto"/>
                  <w:vAlign w:val="center"/>
                </w:tcPr>
                <w:p w14:paraId="66044796">
                  <w:pPr>
                    <w:spacing w:line="360" w:lineRule="exact"/>
                    <w:jc w:val="center"/>
                    <w:rPr>
                      <w:rFonts w:hint="eastAsia" w:ascii="宋体" w:hAnsi="宋体" w:eastAsia="宋体" w:cs="宋体"/>
                      <w:color w:val="auto"/>
                      <w:sz w:val="24"/>
                      <w:szCs w:val="24"/>
                      <w:highlight w:val="none"/>
                    </w:rPr>
                  </w:pPr>
                  <w:r>
                    <w:rPr>
                      <w:rFonts w:hint="eastAsia" w:ascii="宋体" w:hAnsi="宋体" w:eastAsia="宋体" w:cs="宋体"/>
                      <w:color w:val="auto"/>
                      <w:kern w:val="2"/>
                      <w:sz w:val="24"/>
                      <w:szCs w:val="24"/>
                      <w:lang w:val="en-US" w:eastAsia="zh-CN" w:bidi="ar-SA"/>
                    </w:rPr>
                    <w:t>华英农业：0-5%</w:t>
                  </w:r>
                </w:p>
              </w:tc>
            </w:tr>
            <w:tr w14:paraId="786F0923">
              <w:trPr>
                <w:jc w:val="center"/>
              </w:trPr>
              <w:tc>
                <w:tcPr>
                  <w:tcW w:w="2146" w:type="dxa"/>
                  <w:shd w:val="clear" w:color="auto" w:fill="auto"/>
                  <w:vAlign w:val="center"/>
                </w:tcPr>
                <w:p w14:paraId="1E6D4B8D">
                  <w:pPr>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熟食鸭肉制品</w:t>
                  </w:r>
                  <w:r>
                    <w:rPr>
                      <w:rFonts w:hint="eastAsia" w:ascii="宋体" w:hAnsi="宋体" w:cs="宋体"/>
                      <w:color w:val="auto"/>
                      <w:sz w:val="24"/>
                      <w:szCs w:val="24"/>
                      <w:lang w:val="en-US" w:eastAsia="zh-CN"/>
                    </w:rPr>
                    <w:t>市场</w:t>
                  </w:r>
                </w:p>
              </w:tc>
              <w:tc>
                <w:tcPr>
                  <w:tcW w:w="1984" w:type="dxa"/>
                  <w:shd w:val="clear" w:color="auto" w:fill="auto"/>
                  <w:vAlign w:val="center"/>
                </w:tcPr>
                <w:p w14:paraId="616EA6B9">
                  <w:pPr>
                    <w:spacing w:line="360" w:lineRule="exact"/>
                    <w:jc w:val="center"/>
                    <w:rPr>
                      <w:rFonts w:hint="eastAsia" w:ascii="宋体" w:hAnsi="宋体" w:eastAsia="宋体" w:cs="宋体"/>
                      <w:color w:val="auto"/>
                      <w:sz w:val="24"/>
                      <w:szCs w:val="24"/>
                    </w:rPr>
                  </w:pPr>
                  <w:r>
                    <w:rPr>
                      <w:rFonts w:hint="eastAsia" w:ascii="宋体" w:hAnsi="宋体" w:eastAsia="宋体" w:cs="宋体"/>
                      <w:color w:val="auto"/>
                      <w:sz w:val="24"/>
                      <w:szCs w:val="24"/>
                    </w:rPr>
                    <w:t>中国境内</w:t>
                  </w:r>
                </w:p>
              </w:tc>
              <w:tc>
                <w:tcPr>
                  <w:tcW w:w="2191" w:type="dxa"/>
                  <w:shd w:val="clear" w:color="auto" w:fill="auto"/>
                  <w:vAlign w:val="center"/>
                </w:tcPr>
                <w:p w14:paraId="3A5AB286">
                  <w:pPr>
                    <w:spacing w:line="360" w:lineRule="exact"/>
                    <w:jc w:val="center"/>
                    <w:rPr>
                      <w:rFonts w:hint="eastAsia" w:ascii="宋体" w:hAnsi="宋体" w:eastAsia="宋体" w:cs="宋体"/>
                      <w:color w:val="auto"/>
                      <w:sz w:val="24"/>
                      <w:szCs w:val="24"/>
                    </w:rPr>
                  </w:pPr>
                  <w:r>
                    <w:rPr>
                      <w:rFonts w:hint="eastAsia" w:ascii="宋体" w:hAnsi="宋体" w:eastAsia="宋体" w:cs="宋体"/>
                      <w:color w:val="auto"/>
                      <w:kern w:val="2"/>
                      <w:sz w:val="24"/>
                      <w:szCs w:val="24"/>
                      <w:lang w:val="en-US" w:eastAsia="zh-CN" w:bidi="ar-SA"/>
                    </w:rPr>
                    <w:t>华英农业：0-5%</w:t>
                  </w:r>
                </w:p>
              </w:tc>
            </w:tr>
          </w:tbl>
          <w:p w14:paraId="008FC346">
            <w:pPr>
              <w:pStyle w:val="2"/>
              <w:adjustRightInd w:val="0"/>
              <w:snapToGrid w:val="0"/>
              <w:spacing w:after="0"/>
              <w:rPr>
                <w:rFonts w:hint="eastAsia" w:ascii="宋体" w:hAnsi="宋体" w:eastAsia="宋体" w:cs="宋体"/>
                <w:bCs/>
                <w:color w:val="auto"/>
                <w:sz w:val="24"/>
                <w:szCs w:val="24"/>
                <w:lang w:val="en-US" w:eastAsia="zh-CN"/>
              </w:rPr>
            </w:pPr>
          </w:p>
        </w:tc>
      </w:tr>
    </w:tbl>
    <w:p w14:paraId="7F62830E"/>
    <w:p w14:paraId="03C386A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plified Arabic">
    <w:altName w:val="Thonburi"/>
    <w:panose1 w:val="00000000000000000000"/>
    <w:charset w:val="B2"/>
    <w:family w:val="roman"/>
    <w:pitch w:val="default"/>
    <w:sig w:usb0="00000000" w:usb1="00000000" w:usb2="00000008" w:usb3="00000000" w:csb0="0000004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honburi">
    <w:panose1 w:val="00000400000000000000"/>
    <w:charset w:val="00"/>
    <w:family w:val="auto"/>
    <w:pitch w:val="default"/>
    <w:sig w:usb0="01000000" w:usb1="00000000" w:usb2="00000000" w:usb3="00000000" w:csb0="20000193" w:csb1="4D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733A5F"/>
    <w:multiLevelType w:val="multilevel"/>
    <w:tmpl w:val="4B733A5F"/>
    <w:lvl w:ilvl="0" w:tentative="0">
      <w:start w:val="1"/>
      <w:numFmt w:val="decimal"/>
      <w:pStyle w:val="7"/>
      <w:suff w:val="nothing"/>
      <w:lvlText w:val="示例%1："/>
      <w:lvlJc w:val="left"/>
      <w:pPr>
        <w:ind w:left="0" w:firstLine="363"/>
      </w:pPr>
      <w:rPr>
        <w:rFonts w:hint="default" w:ascii="黑体" w:eastAsia="黑体"/>
        <w:b w:val="0"/>
        <w:i w:val="0"/>
        <w:sz w:val="20"/>
        <w:szCs w:val="21"/>
      </w:rPr>
    </w:lvl>
    <w:lvl w:ilvl="1" w:tentative="0">
      <w:start w:val="1"/>
      <w:numFmt w:val="none"/>
      <w:suff w:val="space"/>
      <w:lvlText w:val=""/>
      <w:lvlJc w:val="left"/>
      <w:pPr>
        <w:ind w:left="0" w:firstLine="0"/>
      </w:pPr>
      <w:rPr>
        <w:rFonts w:hint="eastAsia"/>
      </w:rPr>
    </w:lvl>
    <w:lvl w:ilvl="2" w:tentative="0">
      <w:start w:val="1"/>
      <w:numFmt w:val="decimal"/>
      <w:suff w:val="space"/>
      <w:lvlText w:val="2.2.%3"/>
      <w:lvlJc w:val="left"/>
      <w:pPr>
        <w:ind w:left="0" w:firstLine="0"/>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BF0C6F"/>
    <w:rsid w:val="00124350"/>
    <w:rsid w:val="00194D40"/>
    <w:rsid w:val="001A3D91"/>
    <w:rsid w:val="001E0B9F"/>
    <w:rsid w:val="00325199"/>
    <w:rsid w:val="00340C57"/>
    <w:rsid w:val="003C4C0C"/>
    <w:rsid w:val="005A50D2"/>
    <w:rsid w:val="00624927"/>
    <w:rsid w:val="007025D1"/>
    <w:rsid w:val="007C7A72"/>
    <w:rsid w:val="00905C8F"/>
    <w:rsid w:val="009122AB"/>
    <w:rsid w:val="00997E2C"/>
    <w:rsid w:val="00B56058"/>
    <w:rsid w:val="00D22A25"/>
    <w:rsid w:val="00E6580A"/>
    <w:rsid w:val="00F6096D"/>
    <w:rsid w:val="29BFC08F"/>
    <w:rsid w:val="4FBF0C6F"/>
    <w:rsid w:val="58B7E378"/>
    <w:rsid w:val="5ABB39DB"/>
    <w:rsid w:val="5CAF7AFB"/>
    <w:rsid w:val="5E5F3042"/>
    <w:rsid w:val="63FFD43D"/>
    <w:rsid w:val="6DF78A82"/>
    <w:rsid w:val="6ECFDD85"/>
    <w:rsid w:val="6F7DB83E"/>
    <w:rsid w:val="76F135A9"/>
    <w:rsid w:val="776EA3C2"/>
    <w:rsid w:val="77FF9A0B"/>
    <w:rsid w:val="7AAE4F76"/>
    <w:rsid w:val="7BF9D51D"/>
    <w:rsid w:val="7CE55095"/>
    <w:rsid w:val="7CF7F89E"/>
    <w:rsid w:val="7CFBF57E"/>
    <w:rsid w:val="7F7E4338"/>
    <w:rsid w:val="7F9F3F56"/>
    <w:rsid w:val="7FBF5846"/>
    <w:rsid w:val="7FBFF66C"/>
    <w:rsid w:val="7FD91087"/>
    <w:rsid w:val="7FFEF3E5"/>
    <w:rsid w:val="7FFF8BF6"/>
    <w:rsid w:val="936C46AF"/>
    <w:rsid w:val="9FAB418D"/>
    <w:rsid w:val="AFBA0B05"/>
    <w:rsid w:val="B7C98DE1"/>
    <w:rsid w:val="B7FB9221"/>
    <w:rsid w:val="BBFF2C00"/>
    <w:rsid w:val="BFED886D"/>
    <w:rsid w:val="BFF54877"/>
    <w:rsid w:val="CB5FAFDF"/>
    <w:rsid w:val="D7799084"/>
    <w:rsid w:val="D9F131C2"/>
    <w:rsid w:val="DDF9F01C"/>
    <w:rsid w:val="DF56F31B"/>
    <w:rsid w:val="DFC70D1C"/>
    <w:rsid w:val="EDCF13A9"/>
    <w:rsid w:val="EED0E66F"/>
    <w:rsid w:val="F1DFD1B4"/>
    <w:rsid w:val="F7779F80"/>
    <w:rsid w:val="F7EF70DD"/>
    <w:rsid w:val="FBFB957E"/>
    <w:rsid w:val="FD3BB071"/>
    <w:rsid w:val="FDCB75D4"/>
    <w:rsid w:val="FEAF771C"/>
    <w:rsid w:val="FEEE7A95"/>
    <w:rsid w:val="FF17F26C"/>
    <w:rsid w:val="FF7D91DF"/>
    <w:rsid w:val="FF7F0F9F"/>
    <w:rsid w:val="FF7FCA2F"/>
    <w:rsid w:val="FFDE1E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Body Text"/>
    <w:qFormat/>
    <w:uiPriority w:val="0"/>
    <w:pPr>
      <w:spacing w:after="240"/>
      <w:jc w:val="both"/>
    </w:pPr>
    <w:rPr>
      <w:rFonts w:ascii="Times New Roman" w:hAnsi="Times New Roman" w:eastAsia="宋体" w:cs="Simplified Arabic"/>
      <w:sz w:val="24"/>
      <w:szCs w:val="24"/>
      <w:lang w:val="en-GB" w:eastAsia="en-GB" w:bidi="ar-AE"/>
    </w:rPr>
  </w:style>
  <w:style w:type="table" w:styleId="4">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
  </w:style>
  <w:style w:type="paragraph" w:customStyle="1" w:styleId="6">
    <w:name w:val="标准文件_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7">
    <w:name w:val="标准文件_示例×："/>
    <w:basedOn w:val="1"/>
    <w:next w:val="8"/>
    <w:qFormat/>
    <w:uiPriority w:val="0"/>
    <w:pPr>
      <w:widowControl/>
      <w:numPr>
        <w:ilvl w:val="0"/>
        <w:numId w:val="1"/>
      </w:numPr>
    </w:pPr>
    <w:rPr>
      <w:rFonts w:ascii="宋体"/>
      <w:kern w:val="0"/>
      <w:sz w:val="18"/>
      <w:szCs w:val="18"/>
    </w:rPr>
  </w:style>
  <w:style w:type="paragraph" w:customStyle="1" w:styleId="8">
    <w:name w:val="标准文件_示例内容"/>
    <w:basedOn w:val="6"/>
    <w:qFormat/>
    <w:uiPriority w:val="0"/>
    <w:rPr>
      <w:sz w:val="18"/>
    </w:rPr>
  </w:style>
  <w:style w:type="paragraph" w:customStyle="1" w:styleId="9">
    <w:name w:val="Revision"/>
    <w:hidden/>
    <w:unhideWhenUsed/>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229</Words>
  <Characters>1310</Characters>
  <Lines>10</Lines>
  <Paragraphs>3</Paragraphs>
  <TotalTime>30</TotalTime>
  <ScaleCrop>false</ScaleCrop>
  <LinksUpToDate>false</LinksUpToDate>
  <CharactersWithSpaces>1536</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2026-05-12T15:15:00Z</dcterms:created>
  <dc:creator>Han-JY</dc:creator>
  <cp:lastModifiedBy>Han-JY</cp:lastModifiedBy>
  <dcterms:modified xsi:type="dcterms:W3CDTF">2026-05-20T16:43:02Z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1F036C3053C28A215FFCFA690B8C8C11_41</vt:lpwstr>
  </property>
</Properties>
</file>