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line="594" w:lineRule="exact"/>
        <w:jc w:val="center"/>
        <w:rPr>
          <w:rFonts w:eastAsia="SimHei"/>
          <w:bCs/>
          <w:kern w:val="0"/>
          <w:sz w:val="36"/>
          <w:szCs w:val="36"/>
          <w:lang w:val="en-GB" w:bidi="ar-AE"/>
        </w:rPr>
      </w:pPr>
      <w:r>
        <w:rPr>
          <w:rFonts w:eastAsia="SimHei"/>
          <w:bCs/>
          <w:kern w:val="0"/>
          <w:sz w:val="36"/>
          <w:szCs w:val="36"/>
          <w:lang w:val="en-GB" w:bidi="ar-AE"/>
        </w:rPr>
        <w:t>经营者集中简易案件公示表</w:t>
      </w:r>
    </w:p>
    <w:tbl>
      <w:tblPr>
        <w:tblStyle w:val="7"/>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63"/>
        <w:gridCol w:w="62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pPr>
              <w:pStyle w:val="4"/>
              <w:widowControl/>
              <w:adjustRightInd w:val="0"/>
              <w:snapToGrid w:val="0"/>
              <w:spacing w:after="0"/>
              <w:rPr>
                <w:rFonts w:cs="Times New Roman"/>
                <w:bCs/>
                <w:color w:val="000000"/>
                <w:kern w:val="0"/>
                <w:lang w:val="en-US"/>
              </w:rPr>
            </w:pPr>
            <w:r>
              <w:rPr>
                <w:rFonts w:cs="Times New Roman"/>
                <w:bCs/>
                <w:color w:val="000000"/>
                <w:kern w:val="0"/>
              </w:rPr>
              <w:t>案件名称</w:t>
            </w:r>
          </w:p>
        </w:tc>
        <w:tc>
          <w:tcPr>
            <w:tcW w:w="7700" w:type="dxa"/>
            <w:gridSpan w:val="2"/>
            <w:vAlign w:val="center"/>
          </w:tcPr>
          <w:p>
            <w:pPr>
              <w:widowControl/>
              <w:adjustRightInd w:val="0"/>
              <w:snapToGrid w:val="0"/>
              <w:rPr>
                <w:bCs/>
                <w:color w:val="000000"/>
                <w:kern w:val="0"/>
                <w:sz w:val="24"/>
                <w:lang w:bidi="ar-AE"/>
              </w:rPr>
            </w:pPr>
            <w:r>
              <w:rPr>
                <w:bCs/>
                <w:color w:val="000000"/>
                <w:kern w:val="0"/>
                <w:sz w:val="24"/>
                <w:lang w:bidi="ar-AE"/>
              </w:rPr>
              <w:t>河南信息产业私募基金管理有限公司与河南昆仑技术有限公司新设合营企业案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pPr>
              <w:pStyle w:val="4"/>
              <w:widowControl/>
              <w:adjustRightInd w:val="0"/>
              <w:snapToGrid w:val="0"/>
              <w:spacing w:after="0"/>
              <w:rPr>
                <w:rFonts w:cs="Times New Roman"/>
                <w:bCs/>
                <w:color w:val="000000"/>
                <w:kern w:val="0"/>
                <w:lang w:val="en-US" w:eastAsia="zh-CN"/>
              </w:rPr>
            </w:pPr>
            <w:r>
              <w:rPr>
                <w:rFonts w:cs="Times New Roman"/>
                <w:bCs/>
                <w:color w:val="000000"/>
                <w:kern w:val="0"/>
                <w:lang w:eastAsia="zh-CN"/>
              </w:rPr>
              <w:t>交易概况（限200字内）</w:t>
            </w:r>
          </w:p>
        </w:tc>
        <w:tc>
          <w:tcPr>
            <w:tcW w:w="7700" w:type="dxa"/>
            <w:gridSpan w:val="2"/>
            <w:vAlign w:val="center"/>
          </w:tcPr>
          <w:p>
            <w:pPr>
              <w:adjustRightInd w:val="0"/>
              <w:snapToGrid w:val="0"/>
              <w:rPr>
                <w:bCs/>
                <w:color w:val="000000"/>
                <w:kern w:val="0"/>
                <w:sz w:val="24"/>
                <w:lang w:bidi="ar-AE"/>
              </w:rPr>
            </w:pPr>
            <w:r>
              <w:rPr>
                <w:bCs/>
                <w:color w:val="000000"/>
                <w:kern w:val="0"/>
                <w:sz w:val="24"/>
                <w:lang w:bidi="ar-AE"/>
              </w:rPr>
              <w:t>信产基金、昆仑技术已签署《合资公司合作协议》，双方拟共同出资在河南省郑州市设立合营企业。</w:t>
            </w:r>
            <w:r>
              <w:rPr>
                <w:rFonts w:hint="eastAsia"/>
                <w:kern w:val="0"/>
                <w:sz w:val="24"/>
                <w:lang w:bidi="ar-AE"/>
              </w:rPr>
              <w:t>合营企业拟主要从事管理咨询服务</w:t>
            </w:r>
            <w:r>
              <w:rPr>
                <w:kern w:val="0"/>
                <w:sz w:val="24"/>
                <w:lang w:bidi="ar-AE"/>
              </w:rPr>
              <w:t>等</w:t>
            </w:r>
            <w:r>
              <w:rPr>
                <w:rFonts w:hint="eastAsia"/>
                <w:kern w:val="0"/>
                <w:sz w:val="24"/>
                <w:lang w:bidi="ar-AE"/>
              </w:rPr>
              <w:t>。交易后，</w:t>
            </w:r>
            <w:r>
              <w:rPr>
                <w:bCs/>
                <w:color w:val="000000"/>
                <w:kern w:val="0"/>
                <w:sz w:val="24"/>
                <w:lang w:bidi="ar-AE"/>
              </w:rPr>
              <w:t>信产基金</w:t>
            </w:r>
            <w:r>
              <w:rPr>
                <w:rFonts w:hint="eastAsia"/>
                <w:bCs/>
                <w:color w:val="000000"/>
                <w:kern w:val="0"/>
                <w:sz w:val="24"/>
                <w:lang w:bidi="ar-AE"/>
              </w:rPr>
              <w:t>和</w:t>
            </w:r>
            <w:r>
              <w:rPr>
                <w:bCs/>
                <w:color w:val="000000"/>
                <w:kern w:val="0"/>
                <w:sz w:val="24"/>
                <w:lang w:bidi="ar-AE"/>
              </w:rPr>
              <w:t>昆仑技术</w:t>
            </w:r>
            <w:r>
              <w:rPr>
                <w:rFonts w:hint="eastAsia"/>
                <w:kern w:val="0"/>
                <w:sz w:val="24"/>
                <w:lang w:bidi="ar-AE"/>
              </w:rPr>
              <w:t>将分别持有合营企业51%和49%的股权，</w:t>
            </w:r>
            <w:r>
              <w:rPr>
                <w:kern w:val="0"/>
                <w:sz w:val="24"/>
                <w:lang w:bidi="ar-AE"/>
              </w:rPr>
              <w:t>共同控制</w:t>
            </w:r>
            <w:r>
              <w:rPr>
                <w:rFonts w:hint="eastAsia"/>
                <w:kern w:val="0"/>
                <w:sz w:val="24"/>
                <w:lang w:bidi="ar-AE"/>
              </w:rPr>
              <w:t>合营企业</w:t>
            </w:r>
            <w:r>
              <w:rPr>
                <w:kern w:val="0"/>
                <w:sz w:val="24"/>
                <w:lang w:bidi="ar-A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vAlign w:val="center"/>
          </w:tcPr>
          <w:p>
            <w:pPr>
              <w:pStyle w:val="4"/>
              <w:widowControl/>
              <w:adjustRightInd w:val="0"/>
              <w:snapToGrid w:val="0"/>
              <w:spacing w:after="0"/>
              <w:rPr>
                <w:rFonts w:cs="Times New Roman"/>
                <w:bCs/>
                <w:color w:val="000000"/>
                <w:kern w:val="0"/>
                <w:lang w:val="en-US" w:eastAsia="zh-CN"/>
              </w:rPr>
            </w:pPr>
            <w:r>
              <w:rPr>
                <w:rFonts w:cs="Times New Roman"/>
                <w:bCs/>
                <w:color w:val="000000"/>
                <w:kern w:val="0"/>
                <w:lang w:eastAsia="zh-CN"/>
              </w:rPr>
              <w:t>参与集中的经营者简介（每个限</w:t>
            </w:r>
            <w:r>
              <w:rPr>
                <w:rFonts w:cs="Times New Roman"/>
                <w:bCs/>
                <w:color w:val="000000"/>
                <w:kern w:val="0"/>
                <w:lang w:val="en-US" w:eastAsia="zh-CN"/>
              </w:rPr>
              <w:t>100字以内</w:t>
            </w:r>
            <w:r>
              <w:rPr>
                <w:rFonts w:cs="Times New Roman"/>
                <w:bCs/>
                <w:color w:val="000000"/>
                <w:kern w:val="0"/>
                <w:lang w:eastAsia="zh-CN"/>
              </w:rPr>
              <w:t>）</w:t>
            </w:r>
          </w:p>
        </w:tc>
        <w:tc>
          <w:tcPr>
            <w:tcW w:w="1463" w:type="dxa"/>
            <w:vAlign w:val="center"/>
          </w:tcPr>
          <w:p>
            <w:pPr>
              <w:pStyle w:val="4"/>
              <w:widowControl/>
              <w:adjustRightInd w:val="0"/>
              <w:snapToGrid w:val="0"/>
              <w:spacing w:after="0"/>
              <w:rPr>
                <w:rFonts w:cs="Times New Roman"/>
                <w:bCs/>
                <w:color w:val="000000"/>
                <w:kern w:val="0"/>
                <w:lang w:eastAsia="zh-CN"/>
              </w:rPr>
            </w:pPr>
            <w:r>
              <w:rPr>
                <w:rFonts w:cs="Times New Roman"/>
                <w:bCs/>
                <w:color w:val="000000"/>
                <w:kern w:val="0"/>
                <w:lang w:val="en-US" w:eastAsia="zh-CN"/>
              </w:rPr>
              <w:t>1.</w:t>
            </w:r>
            <w:r>
              <w:rPr>
                <w:bCs/>
                <w:color w:val="000000"/>
                <w:kern w:val="0"/>
                <w:lang w:val="en-US"/>
              </w:rPr>
              <w:t>信产基金</w:t>
            </w:r>
          </w:p>
        </w:tc>
        <w:tc>
          <w:tcPr>
            <w:tcW w:w="6237" w:type="dxa"/>
            <w:vAlign w:val="center"/>
          </w:tcPr>
          <w:p>
            <w:pPr>
              <w:widowControl/>
              <w:rPr>
                <w:bCs/>
                <w:color w:val="auto"/>
                <w:kern w:val="0"/>
                <w:sz w:val="24"/>
                <w:lang w:val="zh-CN" w:bidi="ar-AE"/>
              </w:rPr>
            </w:pPr>
            <w:r>
              <w:rPr>
                <w:bCs/>
                <w:color w:val="auto"/>
                <w:kern w:val="0"/>
                <w:sz w:val="24"/>
                <w:lang w:bidi="ar-AE"/>
              </w:rPr>
              <w:t>河南信息产业私募基金管理有限公司</w:t>
            </w:r>
            <w:r>
              <w:rPr>
                <w:rFonts w:hint="eastAsia"/>
                <w:bCs/>
                <w:color w:val="auto"/>
                <w:kern w:val="0"/>
                <w:sz w:val="24"/>
                <w:lang w:bidi="ar-AE"/>
              </w:rPr>
              <w:t>（“</w:t>
            </w:r>
            <w:r>
              <w:rPr>
                <w:rFonts w:hint="eastAsia"/>
                <w:bCs/>
                <w:color w:val="auto"/>
                <w:kern w:val="0"/>
                <w:sz w:val="24"/>
                <w:lang w:val="zh-CN" w:bidi="ar-AE"/>
              </w:rPr>
              <w:t>信产基金”）于2018年8月21日成立于河南省郑州市，主要业务包括</w:t>
            </w:r>
            <w:r>
              <w:rPr>
                <w:bCs/>
                <w:color w:val="auto"/>
                <w:kern w:val="0"/>
                <w:sz w:val="24"/>
                <w:lang w:bidi="ar-AE"/>
              </w:rPr>
              <w:t>私募股权投资基金管理、创业投资基金管理服务等</w:t>
            </w:r>
            <w:r>
              <w:rPr>
                <w:rFonts w:hint="eastAsia"/>
                <w:bCs/>
                <w:color w:val="auto"/>
                <w:kern w:val="0"/>
                <w:sz w:val="24"/>
                <w:lang w:val="zh-CN" w:bidi="ar-AE"/>
              </w:rPr>
              <w:t>。</w:t>
            </w:r>
          </w:p>
          <w:p>
            <w:pPr>
              <w:widowControl/>
              <w:rPr>
                <w:bCs/>
                <w:color w:val="auto"/>
                <w:kern w:val="0"/>
                <w:sz w:val="24"/>
                <w:lang w:val="zh-CN" w:bidi="ar-AE"/>
              </w:rPr>
            </w:pPr>
            <w:r>
              <w:rPr>
                <w:rFonts w:hint="eastAsia"/>
                <w:bCs/>
                <w:color w:val="auto"/>
                <w:kern w:val="0"/>
                <w:sz w:val="24"/>
                <w:lang w:val="zh-CN" w:bidi="ar-AE"/>
              </w:rPr>
              <w:t>信产基金的最终控制人为</w:t>
            </w:r>
            <w:r>
              <w:rPr>
                <w:bCs/>
                <w:color w:val="auto"/>
                <w:kern w:val="0"/>
                <w:sz w:val="24"/>
                <w:lang w:bidi="ar-AE"/>
              </w:rPr>
              <w:t>豫信电子科技集团有限公司</w:t>
            </w:r>
            <w:r>
              <w:rPr>
                <w:rFonts w:hint="eastAsia"/>
                <w:bCs/>
                <w:color w:val="auto"/>
                <w:kern w:val="0"/>
                <w:sz w:val="24"/>
                <w:lang w:bidi="ar-AE"/>
              </w:rPr>
              <w:t>（“豫信电科”）</w:t>
            </w:r>
            <w:r>
              <w:rPr>
                <w:rFonts w:hint="eastAsia"/>
                <w:bCs/>
                <w:color w:val="auto"/>
                <w:kern w:val="0"/>
                <w:sz w:val="24"/>
                <w:lang w:val="zh-CN" w:bidi="ar-AE"/>
              </w:rPr>
              <w:t>，主要业务领域为</w:t>
            </w:r>
            <w:r>
              <w:rPr>
                <w:bCs/>
                <w:color w:val="auto"/>
                <w:kern w:val="0"/>
                <w:sz w:val="24"/>
                <w:lang w:bidi="ar-AE"/>
              </w:rPr>
              <w:t>软件和信息技术服务、电子信息制造</w:t>
            </w:r>
            <w:r>
              <w:rPr>
                <w:rFonts w:hint="eastAsia"/>
                <w:bCs/>
                <w:color w:val="auto"/>
                <w:kern w:val="0"/>
                <w:sz w:val="24"/>
                <w:lang w:bidi="ar-AE"/>
              </w:rPr>
              <w:t>、咨询服务</w:t>
            </w:r>
            <w:r>
              <w:rPr>
                <w:bCs/>
                <w:color w:val="auto"/>
                <w:kern w:val="0"/>
                <w:sz w:val="24"/>
                <w:lang w:val="zh-CN" w:bidi="ar-A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pStyle w:val="4"/>
              <w:widowControl/>
              <w:adjustRightInd w:val="0"/>
              <w:snapToGrid w:val="0"/>
              <w:spacing w:after="0"/>
              <w:rPr>
                <w:rFonts w:cs="Times New Roman"/>
                <w:bCs/>
                <w:color w:val="000000"/>
                <w:kern w:val="0"/>
                <w:lang w:val="en-US" w:eastAsia="zh-CN"/>
              </w:rPr>
            </w:pPr>
          </w:p>
        </w:tc>
        <w:tc>
          <w:tcPr>
            <w:tcW w:w="1463" w:type="dxa"/>
            <w:vAlign w:val="center"/>
          </w:tcPr>
          <w:p>
            <w:pPr>
              <w:pStyle w:val="4"/>
              <w:widowControl/>
              <w:adjustRightInd w:val="0"/>
              <w:snapToGrid w:val="0"/>
              <w:spacing w:after="0"/>
              <w:rPr>
                <w:rFonts w:cs="Times New Roman"/>
                <w:bCs/>
                <w:color w:val="000000"/>
                <w:kern w:val="0"/>
                <w:lang w:eastAsia="zh-CN"/>
              </w:rPr>
            </w:pPr>
            <w:r>
              <w:rPr>
                <w:rFonts w:cs="Times New Roman"/>
                <w:bCs/>
                <w:color w:val="000000"/>
                <w:kern w:val="0"/>
                <w:lang w:val="en-US" w:eastAsia="zh-CN"/>
              </w:rPr>
              <w:t>2.</w:t>
            </w:r>
            <w:r>
              <w:rPr>
                <w:rFonts w:hint="eastAsia" w:cs="Times New Roman"/>
                <w:bCs/>
                <w:color w:val="000000"/>
                <w:kern w:val="0"/>
                <w:lang w:val="en-US" w:eastAsia="zh-CN"/>
              </w:rPr>
              <w:t>昆仑技术</w:t>
            </w:r>
          </w:p>
        </w:tc>
        <w:tc>
          <w:tcPr>
            <w:tcW w:w="6237" w:type="dxa"/>
            <w:vAlign w:val="center"/>
          </w:tcPr>
          <w:p>
            <w:pPr>
              <w:widowControl/>
              <w:adjustRightInd w:val="0"/>
              <w:snapToGrid w:val="0"/>
              <w:rPr>
                <w:bCs/>
                <w:color w:val="auto"/>
                <w:kern w:val="0"/>
                <w:sz w:val="24"/>
                <w:lang w:val="zh-CN" w:bidi="ar-AE"/>
              </w:rPr>
            </w:pPr>
            <w:r>
              <w:rPr>
                <w:bCs/>
                <w:color w:val="auto"/>
                <w:kern w:val="0"/>
                <w:sz w:val="24"/>
                <w:lang w:bidi="ar-AE"/>
              </w:rPr>
              <w:t>河南昆仑技术有限公司</w:t>
            </w:r>
            <w:r>
              <w:rPr>
                <w:rFonts w:hint="eastAsia"/>
                <w:bCs/>
                <w:color w:val="auto"/>
                <w:kern w:val="0"/>
                <w:sz w:val="24"/>
                <w:lang w:bidi="ar-AE"/>
              </w:rPr>
              <w:t>（“</w:t>
            </w:r>
            <w:r>
              <w:rPr>
                <w:rFonts w:hint="eastAsia"/>
                <w:bCs/>
                <w:color w:val="auto"/>
                <w:kern w:val="0"/>
                <w:sz w:val="24"/>
                <w:lang w:val="zh-CN" w:bidi="ar-AE"/>
              </w:rPr>
              <w:t>昆仑技术”）</w:t>
            </w:r>
            <w:r>
              <w:rPr>
                <w:bCs/>
                <w:color w:val="auto"/>
                <w:kern w:val="0"/>
                <w:sz w:val="24"/>
                <w:lang w:val="zh-CN" w:bidi="ar-AE"/>
              </w:rPr>
              <w:t>于2022</w:t>
            </w:r>
            <w:r>
              <w:rPr>
                <w:rFonts w:hint="eastAsia"/>
                <w:bCs/>
                <w:color w:val="auto"/>
                <w:kern w:val="0"/>
                <w:sz w:val="24"/>
                <w:lang w:val="zh-CN" w:bidi="ar-AE"/>
              </w:rPr>
              <w:t>年1</w:t>
            </w:r>
            <w:r>
              <w:rPr>
                <w:bCs/>
                <w:color w:val="auto"/>
                <w:kern w:val="0"/>
                <w:sz w:val="24"/>
                <w:lang w:val="zh-CN" w:bidi="ar-AE"/>
              </w:rPr>
              <w:t>0</w:t>
            </w:r>
            <w:r>
              <w:rPr>
                <w:rFonts w:hint="eastAsia"/>
                <w:bCs/>
                <w:color w:val="auto"/>
                <w:kern w:val="0"/>
                <w:sz w:val="24"/>
                <w:lang w:val="zh-CN" w:bidi="ar-AE"/>
              </w:rPr>
              <w:t>月</w:t>
            </w:r>
            <w:r>
              <w:rPr>
                <w:bCs/>
                <w:color w:val="auto"/>
                <w:kern w:val="0"/>
                <w:sz w:val="24"/>
                <w:lang w:val="zh-CN" w:bidi="ar-AE"/>
              </w:rPr>
              <w:t>26</w:t>
            </w:r>
            <w:r>
              <w:rPr>
                <w:rFonts w:hint="eastAsia"/>
                <w:bCs/>
                <w:color w:val="auto"/>
                <w:kern w:val="0"/>
                <w:sz w:val="24"/>
                <w:lang w:val="zh-CN" w:bidi="ar-AE"/>
              </w:rPr>
              <w:t>日成立于河南省郑州市</w:t>
            </w:r>
            <w:r>
              <w:rPr>
                <w:bCs/>
                <w:color w:val="auto"/>
                <w:kern w:val="0"/>
                <w:sz w:val="24"/>
                <w:lang w:val="zh-CN" w:bidi="ar-AE"/>
              </w:rPr>
              <w:t>，主要业务</w:t>
            </w:r>
            <w:r>
              <w:rPr>
                <w:rFonts w:hint="eastAsia"/>
                <w:bCs/>
                <w:color w:val="auto"/>
                <w:kern w:val="0"/>
                <w:sz w:val="24"/>
                <w:lang w:val="zh-CN" w:bidi="ar-AE"/>
              </w:rPr>
              <w:t>为</w:t>
            </w:r>
            <w:r>
              <w:rPr>
                <w:bCs/>
                <w:color w:val="auto"/>
                <w:kern w:val="0"/>
                <w:sz w:val="24"/>
                <w:lang w:bidi="ar-AE"/>
              </w:rPr>
              <w:t>通用计算、AI异构计算、基础软件与数据服务等</w:t>
            </w:r>
            <w:r>
              <w:rPr>
                <w:bCs/>
                <w:color w:val="auto"/>
                <w:kern w:val="0"/>
                <w:sz w:val="24"/>
                <w:lang w:val="zh-CN" w:bidi="ar-AE"/>
              </w:rPr>
              <w:t>。</w:t>
            </w:r>
          </w:p>
          <w:p>
            <w:pPr>
              <w:widowControl/>
              <w:adjustRightInd w:val="0"/>
              <w:snapToGrid w:val="0"/>
              <w:rPr>
                <w:bCs/>
                <w:color w:val="auto"/>
                <w:kern w:val="0"/>
                <w:sz w:val="24"/>
                <w:lang w:val="zh-CN" w:bidi="ar-AE"/>
              </w:rPr>
            </w:pPr>
            <w:r>
              <w:rPr>
                <w:rFonts w:hint="eastAsia"/>
                <w:bCs/>
                <w:color w:val="auto"/>
                <w:kern w:val="0"/>
                <w:sz w:val="24"/>
                <w:lang w:val="zh-CN" w:bidi="ar-AE"/>
              </w:rPr>
              <w:t>昆仑技术</w:t>
            </w:r>
            <w:r>
              <w:rPr>
                <w:bCs/>
                <w:color w:val="auto"/>
                <w:kern w:val="0"/>
                <w:sz w:val="24"/>
                <w:lang w:val="zh-CN" w:bidi="ar-AE"/>
              </w:rPr>
              <w:t>最终控制人为</w:t>
            </w:r>
            <w:r>
              <w:rPr>
                <w:bCs/>
                <w:color w:val="auto"/>
                <w:kern w:val="0"/>
                <w:sz w:val="24"/>
                <w:lang w:bidi="ar-AE"/>
              </w:rPr>
              <w:t>河南超聚能科技有限公司（“超聚能”）</w:t>
            </w:r>
            <w:r>
              <w:rPr>
                <w:bCs/>
                <w:color w:val="auto"/>
                <w:kern w:val="0"/>
                <w:sz w:val="24"/>
                <w:lang w:val="zh-CN" w:bidi="ar-AE"/>
              </w:rPr>
              <w:t>，</w:t>
            </w:r>
            <w:r>
              <w:rPr>
                <w:rFonts w:hint="eastAsia"/>
                <w:bCs/>
                <w:color w:val="auto"/>
                <w:kern w:val="0"/>
                <w:sz w:val="24"/>
                <w:lang w:val="zh-CN" w:bidi="ar-AE"/>
              </w:rPr>
              <w:t>主要业务为</w:t>
            </w:r>
            <w:r>
              <w:rPr>
                <w:bCs/>
                <w:color w:val="auto"/>
                <w:kern w:val="0"/>
                <w:sz w:val="24"/>
                <w:lang w:bidi="ar-AE"/>
              </w:rPr>
              <w:t>软件开发、计算机系统服务和信息技术咨询服务。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pStyle w:val="4"/>
              <w:widowControl/>
              <w:adjustRightInd w:val="0"/>
              <w:snapToGrid w:val="0"/>
              <w:spacing w:after="0"/>
              <w:rPr>
                <w:rFonts w:cs="Times New Roman"/>
                <w:bCs/>
                <w:color w:val="000000"/>
                <w:kern w:val="0"/>
                <w:lang w:val="en-US" w:eastAsia="zh-CN"/>
              </w:rPr>
            </w:pPr>
            <w:r>
              <w:rPr>
                <w:rFonts w:cs="Times New Roman"/>
                <w:bCs/>
                <w:color w:val="000000"/>
                <w:kern w:val="0"/>
                <w:lang w:eastAsia="zh-CN"/>
              </w:rPr>
              <w:t>简易案件理由（可以单选，也可以多选）</w:t>
            </w:r>
          </w:p>
        </w:tc>
        <w:tc>
          <w:tcPr>
            <w:tcW w:w="7700" w:type="dxa"/>
            <w:gridSpan w:val="2"/>
            <w:vAlign w:val="center"/>
          </w:tcPr>
          <w:p>
            <w:pPr>
              <w:pStyle w:val="4"/>
              <w:widowControl/>
              <w:adjustRightInd w:val="0"/>
              <w:snapToGrid w:val="0"/>
              <w:spacing w:after="0"/>
              <w:rPr>
                <w:rFonts w:cs="Times New Roman"/>
                <w:bCs/>
                <w:color w:val="000000"/>
                <w:kern w:val="0"/>
                <w:lang w:val="en-US" w:eastAsia="zh-CN"/>
              </w:rPr>
            </w:pPr>
            <w:r>
              <w:rPr>
                <w:rFonts w:cs="Times New Roman"/>
                <w:bCs/>
                <w:color w:val="000000"/>
                <w:kern w:val="0"/>
                <w:lang w:eastAsia="zh-CN"/>
              </w:rPr>
              <w:sym w:font="Wingdings" w:char="00A8"/>
            </w:r>
            <w:r>
              <w:rPr>
                <w:rFonts w:cs="Times New Roman"/>
                <w:bCs/>
                <w:color w:val="000000"/>
                <w:kern w:val="0"/>
                <w:lang w:eastAsia="zh-CN"/>
              </w:rPr>
              <w:t xml:space="preserve">  1</w:t>
            </w:r>
            <w:r>
              <w:rPr>
                <w:rFonts w:cs="Times New Roman"/>
                <w:bCs/>
                <w:color w:val="000000"/>
                <w:kern w:val="0"/>
                <w:lang w:val="en-US" w:eastAsia="zh-CN"/>
              </w:rPr>
              <w:t>.</w:t>
            </w:r>
            <w:r>
              <w:rPr>
                <w:rFonts w:cs="Times New Roman"/>
                <w:bCs/>
                <w:color w:val="000000"/>
                <w:kern w:val="0"/>
                <w:lang w:eastAsia="zh-CN"/>
              </w:rPr>
              <w:t>在同一相关市场，参与集中的经营者所占的市场份额之和小于15%。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pStyle w:val="4"/>
              <w:widowControl/>
              <w:adjustRightInd w:val="0"/>
              <w:snapToGrid w:val="0"/>
              <w:spacing w:after="0"/>
              <w:rPr>
                <w:rFonts w:cs="Times New Roman"/>
                <w:bCs/>
                <w:color w:val="000000"/>
                <w:kern w:val="0"/>
                <w:lang w:val="en-US" w:eastAsia="zh-CN"/>
              </w:rPr>
            </w:pPr>
          </w:p>
        </w:tc>
        <w:tc>
          <w:tcPr>
            <w:tcW w:w="7700" w:type="dxa"/>
            <w:gridSpan w:val="2"/>
            <w:vAlign w:val="center"/>
          </w:tcPr>
          <w:p>
            <w:pPr>
              <w:pStyle w:val="4"/>
              <w:widowControl/>
              <w:adjustRightInd w:val="0"/>
              <w:snapToGrid w:val="0"/>
              <w:spacing w:after="0"/>
              <w:rPr>
                <w:rFonts w:cs="Times New Roman"/>
                <w:bCs/>
                <w:color w:val="000000"/>
                <w:kern w:val="0"/>
                <w:lang w:val="en-US" w:eastAsia="zh-CN"/>
              </w:rPr>
            </w:pPr>
            <w:r>
              <w:rPr>
                <w:rFonts w:cs="Times New Roman"/>
                <w:bCs/>
                <w:color w:val="000000"/>
                <w:kern w:val="0"/>
                <w:lang w:eastAsia="zh-CN"/>
              </w:rPr>
              <w:sym w:font="Wingdings" w:char="00A8"/>
            </w:r>
            <w:r>
              <w:rPr>
                <w:rFonts w:cs="Times New Roman"/>
                <w:bCs/>
                <w:color w:val="000000"/>
                <w:kern w:val="0"/>
                <w:lang w:eastAsia="zh-CN"/>
              </w:rPr>
              <w:t xml:space="preserve"> 2</w:t>
            </w:r>
            <w:r>
              <w:rPr>
                <w:rFonts w:cs="Times New Roman"/>
                <w:bCs/>
                <w:color w:val="000000"/>
                <w:kern w:val="0"/>
                <w:lang w:val="en-US" w:eastAsia="zh-CN"/>
              </w:rPr>
              <w:t>.</w:t>
            </w:r>
            <w:r>
              <w:rPr>
                <w:rFonts w:cs="Times New Roman"/>
                <w:bCs/>
                <w:color w:val="000000"/>
                <w:kern w:val="0"/>
                <w:lang w:eastAsia="zh-CN"/>
              </w:rPr>
              <w:t>在上下游市场，参与集中的经营者所占的市场份额均小于25%。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pStyle w:val="4"/>
              <w:widowControl/>
              <w:adjustRightInd w:val="0"/>
              <w:snapToGrid w:val="0"/>
              <w:spacing w:after="0"/>
              <w:rPr>
                <w:rFonts w:cs="Times New Roman"/>
                <w:bCs/>
                <w:color w:val="000000"/>
                <w:kern w:val="0"/>
                <w:lang w:val="en-US" w:eastAsia="zh-CN"/>
              </w:rPr>
            </w:pPr>
          </w:p>
        </w:tc>
        <w:tc>
          <w:tcPr>
            <w:tcW w:w="7700" w:type="dxa"/>
            <w:gridSpan w:val="2"/>
            <w:vAlign w:val="center"/>
          </w:tcPr>
          <w:p>
            <w:pPr>
              <w:pStyle w:val="4"/>
              <w:widowControl/>
              <w:adjustRightInd w:val="0"/>
              <w:snapToGrid w:val="0"/>
              <w:spacing w:after="0"/>
              <w:rPr>
                <w:rFonts w:cs="Times New Roman"/>
                <w:bCs/>
                <w:color w:val="000000"/>
                <w:kern w:val="0"/>
                <w:lang w:val="en-US" w:eastAsia="zh-CN"/>
              </w:rPr>
            </w:pPr>
            <w:r>
              <w:rPr>
                <w:rFonts w:cs="Times New Roman"/>
                <w:bCs/>
                <w:color w:val="000000"/>
                <w:kern w:val="0"/>
                <w:lang w:eastAsia="zh-CN"/>
              </w:rPr>
              <w:sym w:font="Wingdings" w:char="00FE"/>
            </w:r>
            <w:r>
              <w:rPr>
                <w:rFonts w:cs="Times New Roman"/>
                <w:bCs/>
                <w:color w:val="000000"/>
                <w:kern w:val="0"/>
                <w:lang w:eastAsia="zh-CN"/>
              </w:rPr>
              <w:t xml:space="preserve"> 3</w:t>
            </w:r>
            <w:r>
              <w:rPr>
                <w:rFonts w:cs="Times New Roman"/>
                <w:bCs/>
                <w:color w:val="000000"/>
                <w:kern w:val="0"/>
                <w:lang w:val="en-US" w:eastAsia="zh-CN"/>
              </w:rPr>
              <w:t>.</w:t>
            </w:r>
            <w:r>
              <w:rPr>
                <w:rFonts w:cs="Times New Roman"/>
                <w:bCs/>
                <w:color w:val="000000"/>
                <w:kern w:val="0"/>
                <w:lang w:eastAsia="zh-CN"/>
              </w:rPr>
              <w:t>不在同一相关市场也不存在上下游关系的参与集中的经营者，在与交易有关的每个市场所占的市场份额均小于25%。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pPr>
              <w:pStyle w:val="4"/>
              <w:widowControl/>
              <w:adjustRightInd w:val="0"/>
              <w:snapToGrid w:val="0"/>
              <w:spacing w:after="0"/>
              <w:rPr>
                <w:rFonts w:cs="Times New Roman"/>
                <w:bCs/>
                <w:color w:val="000000"/>
                <w:kern w:val="0"/>
                <w:lang w:val="en-US" w:eastAsia="zh-CN"/>
              </w:rPr>
            </w:pPr>
          </w:p>
        </w:tc>
        <w:tc>
          <w:tcPr>
            <w:tcW w:w="7700" w:type="dxa"/>
            <w:gridSpan w:val="2"/>
            <w:vAlign w:val="center"/>
          </w:tcPr>
          <w:p>
            <w:pPr>
              <w:pStyle w:val="4"/>
              <w:widowControl/>
              <w:adjustRightInd w:val="0"/>
              <w:snapToGrid w:val="0"/>
              <w:spacing w:after="0"/>
              <w:rPr>
                <w:rFonts w:cs="Times New Roman"/>
                <w:bCs/>
                <w:color w:val="000000"/>
                <w:kern w:val="0"/>
                <w:lang w:val="en-US" w:eastAsia="zh-CN"/>
              </w:rPr>
            </w:pPr>
            <w:r>
              <w:rPr>
                <w:rFonts w:cs="Times New Roman"/>
                <w:bCs/>
                <w:color w:val="000000"/>
                <w:kern w:val="0"/>
                <w:lang w:eastAsia="zh-CN"/>
              </w:rPr>
              <w:sym w:font="Wingdings" w:char="00A8"/>
            </w:r>
            <w:r>
              <w:rPr>
                <w:rFonts w:cs="Times New Roman"/>
                <w:bCs/>
                <w:color w:val="000000"/>
                <w:kern w:val="0"/>
                <w:lang w:eastAsia="zh-CN"/>
              </w:rPr>
              <w:t xml:space="preserve"> 4</w:t>
            </w:r>
            <w:r>
              <w:rPr>
                <w:rFonts w:cs="Times New Roman"/>
                <w:bCs/>
                <w:color w:val="000000"/>
                <w:kern w:val="0"/>
                <w:lang w:val="en-US" w:eastAsia="zh-CN"/>
              </w:rPr>
              <w:t>.</w:t>
            </w:r>
            <w:r>
              <w:rPr>
                <w:rFonts w:cs="Times New Roman"/>
                <w:bCs/>
                <w:color w:val="000000"/>
                <w:kern w:val="0"/>
                <w:lang w:eastAsia="zh-CN"/>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pStyle w:val="4"/>
              <w:widowControl/>
              <w:adjustRightInd w:val="0"/>
              <w:snapToGrid w:val="0"/>
              <w:spacing w:after="0"/>
              <w:rPr>
                <w:rFonts w:cs="Times New Roman"/>
                <w:bCs/>
                <w:color w:val="000000"/>
                <w:kern w:val="0"/>
                <w:lang w:val="en-US" w:eastAsia="zh-CN"/>
              </w:rPr>
            </w:pPr>
          </w:p>
        </w:tc>
        <w:tc>
          <w:tcPr>
            <w:tcW w:w="7700" w:type="dxa"/>
            <w:gridSpan w:val="2"/>
            <w:vAlign w:val="center"/>
          </w:tcPr>
          <w:p>
            <w:pPr>
              <w:pStyle w:val="4"/>
              <w:widowControl/>
              <w:adjustRightInd w:val="0"/>
              <w:snapToGrid w:val="0"/>
              <w:spacing w:after="0"/>
              <w:rPr>
                <w:rFonts w:cs="Times New Roman"/>
                <w:bCs/>
                <w:color w:val="000000"/>
                <w:kern w:val="0"/>
                <w:lang w:val="en-US" w:eastAsia="zh-CN"/>
              </w:rPr>
            </w:pPr>
            <w:r>
              <w:rPr>
                <w:rFonts w:cs="Times New Roman"/>
                <w:bCs/>
                <w:color w:val="000000"/>
                <w:kern w:val="0"/>
                <w:lang w:eastAsia="zh-CN"/>
              </w:rPr>
              <w:sym w:font="Wingdings" w:char="00A8"/>
            </w:r>
            <w:r>
              <w:rPr>
                <w:rFonts w:cs="Times New Roman"/>
                <w:bCs/>
                <w:color w:val="000000"/>
                <w:kern w:val="0"/>
                <w:lang w:eastAsia="zh-CN"/>
              </w:rPr>
              <w:t xml:space="preserve"> 5</w:t>
            </w:r>
            <w:r>
              <w:rPr>
                <w:rFonts w:cs="Times New Roman"/>
                <w:bCs/>
                <w:color w:val="000000"/>
                <w:kern w:val="0"/>
                <w:lang w:val="en-US" w:eastAsia="zh-CN"/>
              </w:rPr>
              <w:t>.</w:t>
            </w:r>
            <w:r>
              <w:rPr>
                <w:rFonts w:cs="Times New Roman"/>
                <w:bCs/>
                <w:color w:val="000000"/>
                <w:kern w:val="0"/>
                <w:lang w:eastAsia="zh-CN"/>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pStyle w:val="4"/>
              <w:widowControl/>
              <w:adjustRightInd w:val="0"/>
              <w:snapToGrid w:val="0"/>
              <w:spacing w:after="0"/>
              <w:rPr>
                <w:rFonts w:cs="Times New Roman"/>
                <w:bCs/>
                <w:color w:val="000000"/>
                <w:kern w:val="0"/>
                <w:lang w:val="en-US" w:eastAsia="zh-CN"/>
              </w:rPr>
            </w:pPr>
          </w:p>
        </w:tc>
        <w:tc>
          <w:tcPr>
            <w:tcW w:w="7700" w:type="dxa"/>
            <w:gridSpan w:val="2"/>
            <w:vAlign w:val="center"/>
          </w:tcPr>
          <w:p>
            <w:pPr>
              <w:pStyle w:val="4"/>
              <w:widowControl/>
              <w:adjustRightInd w:val="0"/>
              <w:snapToGrid w:val="0"/>
              <w:spacing w:after="0"/>
              <w:rPr>
                <w:rFonts w:cs="Times New Roman"/>
                <w:bCs/>
                <w:color w:val="000000"/>
                <w:kern w:val="0"/>
                <w:lang w:val="en-US" w:eastAsia="zh-CN"/>
              </w:rPr>
            </w:pPr>
            <w:r>
              <w:rPr>
                <w:rFonts w:cs="Times New Roman"/>
                <w:bCs/>
                <w:color w:val="000000"/>
                <w:kern w:val="0"/>
                <w:lang w:eastAsia="zh-CN"/>
              </w:rPr>
              <w:sym w:font="Wingdings" w:char="00A8"/>
            </w:r>
            <w:r>
              <w:rPr>
                <w:rFonts w:cs="Times New Roman"/>
                <w:bCs/>
                <w:color w:val="000000"/>
                <w:kern w:val="0"/>
                <w:lang w:eastAsia="zh-CN"/>
              </w:rPr>
              <w:t xml:space="preserve"> 6</w:t>
            </w:r>
            <w:r>
              <w:rPr>
                <w:rFonts w:cs="Times New Roman"/>
                <w:bCs/>
                <w:color w:val="000000"/>
                <w:kern w:val="0"/>
                <w:lang w:val="en-US" w:eastAsia="zh-CN"/>
              </w:rPr>
              <w:t>.</w:t>
            </w:r>
            <w:r>
              <w:rPr>
                <w:rFonts w:cs="Times New Roman"/>
                <w:bCs/>
                <w:color w:val="000000"/>
                <w:kern w:val="0"/>
                <w:lang w:eastAsia="zh-CN"/>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3" w:hRule="atLeast"/>
        </w:trPr>
        <w:tc>
          <w:tcPr>
            <w:tcW w:w="1940" w:type="dxa"/>
            <w:shd w:val="clear" w:color="auto" w:fill="D9D9D9"/>
            <w:vAlign w:val="center"/>
          </w:tcPr>
          <w:p>
            <w:pPr>
              <w:pStyle w:val="4"/>
              <w:widowControl/>
              <w:adjustRightInd w:val="0"/>
              <w:snapToGrid w:val="0"/>
              <w:spacing w:after="0"/>
              <w:rPr>
                <w:rFonts w:cs="Times New Roman"/>
                <w:bCs/>
                <w:color w:val="000000"/>
                <w:kern w:val="0"/>
                <w:lang w:val="en-US" w:eastAsia="zh-CN"/>
              </w:rPr>
            </w:pPr>
            <w:r>
              <w:rPr>
                <w:rFonts w:cs="Times New Roman"/>
                <w:bCs/>
                <w:color w:val="000000"/>
                <w:kern w:val="0"/>
                <w:lang w:val="en-US" w:eastAsia="zh-CN"/>
              </w:rPr>
              <w:t>备注</w:t>
            </w:r>
          </w:p>
        </w:tc>
        <w:tc>
          <w:tcPr>
            <w:tcW w:w="7700" w:type="dxa"/>
            <w:gridSpan w:val="2"/>
            <w:vAlign w:val="center"/>
          </w:tcPr>
          <w:p>
            <w:pPr>
              <w:pStyle w:val="4"/>
              <w:widowControl/>
              <w:adjustRightInd w:val="0"/>
              <w:snapToGrid w:val="0"/>
              <w:spacing w:after="0"/>
              <w:rPr>
                <w:rFonts w:cs="Times New Roman"/>
                <w:b/>
                <w:color w:val="000000"/>
                <w:kern w:val="0"/>
                <w:lang w:eastAsia="zh-CN"/>
              </w:rPr>
            </w:pPr>
            <w:r>
              <w:rPr>
                <w:rFonts w:hint="eastAsia" w:cs="Times New Roman"/>
                <w:b/>
                <w:color w:val="000000"/>
                <w:kern w:val="0"/>
                <w:lang w:eastAsia="zh-CN"/>
              </w:rPr>
              <w:t>混合集中</w:t>
            </w:r>
            <w:r>
              <w:rPr>
                <w:rFonts w:cs="Times New Roman"/>
                <w:b/>
                <w:color w:val="000000"/>
                <w:kern w:val="0"/>
                <w:lang w:eastAsia="zh-CN"/>
              </w:rPr>
              <w:t>：</w:t>
            </w: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89"/>
              <w:gridCol w:w="1565"/>
              <w:gridCol w:w="34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2489" w:type="dxa"/>
                </w:tcPr>
                <w:p>
                  <w:pPr>
                    <w:pStyle w:val="5"/>
                    <w:ind w:firstLine="0" w:firstLineChars="0"/>
                    <w:rPr>
                      <w:lang w:eastAsia="zh-CN"/>
                    </w:rPr>
                  </w:pPr>
                  <w:r>
                    <w:rPr>
                      <w:rFonts w:cs="Times New Roman"/>
                      <w:bCs/>
                      <w:color w:val="000000"/>
                      <w:kern w:val="0"/>
                      <w:lang w:eastAsia="zh-CN"/>
                    </w:rPr>
                    <w:t>相关商品市场</w:t>
                  </w:r>
                </w:p>
              </w:tc>
              <w:tc>
                <w:tcPr>
                  <w:tcW w:w="1565" w:type="dxa"/>
                </w:tcPr>
                <w:p>
                  <w:pPr>
                    <w:pStyle w:val="5"/>
                    <w:ind w:firstLine="0" w:firstLineChars="0"/>
                    <w:rPr>
                      <w:lang w:eastAsia="zh-CN"/>
                    </w:rPr>
                  </w:pPr>
                  <w:r>
                    <w:rPr>
                      <w:rFonts w:cs="Times New Roman"/>
                      <w:bCs/>
                      <w:color w:val="000000"/>
                      <w:kern w:val="0"/>
                      <w:lang w:eastAsia="zh-CN"/>
                    </w:rPr>
                    <w:t>相关地域市场</w:t>
                  </w:r>
                </w:p>
              </w:tc>
              <w:tc>
                <w:tcPr>
                  <w:tcW w:w="3415" w:type="dxa"/>
                </w:tcPr>
                <w:p>
                  <w:pPr>
                    <w:pStyle w:val="5"/>
                    <w:ind w:firstLine="0" w:firstLineChars="0"/>
                    <w:rPr>
                      <w:lang w:eastAsia="zh-CN"/>
                    </w:rPr>
                  </w:pPr>
                  <w:r>
                    <w:rPr>
                      <w:rFonts w:cs="Times New Roman"/>
                      <w:bCs/>
                      <w:color w:val="000000"/>
                      <w:kern w:val="0"/>
                      <w:lang w:eastAsia="zh-CN"/>
                    </w:rPr>
                    <w:t>202</w:t>
                  </w:r>
                  <w:r>
                    <w:rPr>
                      <w:rFonts w:hint="eastAsia" w:cs="Times New Roman"/>
                      <w:bCs/>
                      <w:color w:val="000000"/>
                      <w:kern w:val="0"/>
                      <w:lang w:eastAsia="zh-CN"/>
                    </w:rPr>
                    <w:t>5</w:t>
                  </w:r>
                  <w:r>
                    <w:rPr>
                      <w:rFonts w:cs="Times New Roman"/>
                      <w:bCs/>
                      <w:color w:val="000000"/>
                      <w:kern w:val="0"/>
                      <w:lang w:eastAsia="zh-CN"/>
                    </w:rPr>
                    <w:t>年市场份额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2489" w:type="dxa"/>
                </w:tcPr>
                <w:p>
                  <w:pPr>
                    <w:pStyle w:val="5"/>
                    <w:ind w:firstLine="0" w:firstLineChars="0"/>
                    <w:rPr>
                      <w:lang w:eastAsia="zh-CN"/>
                    </w:rPr>
                  </w:pPr>
                  <w:r>
                    <w:rPr>
                      <w:rFonts w:hint="eastAsia"/>
                      <w:lang w:eastAsia="zh-CN"/>
                    </w:rPr>
                    <w:t>企业管理咨询服务</w:t>
                  </w:r>
                </w:p>
              </w:tc>
              <w:tc>
                <w:tcPr>
                  <w:tcW w:w="1565" w:type="dxa"/>
                </w:tcPr>
                <w:p>
                  <w:pPr>
                    <w:pStyle w:val="5"/>
                    <w:ind w:firstLine="0" w:firstLineChars="0"/>
                    <w:rPr>
                      <w:lang w:eastAsia="zh-CN"/>
                    </w:rPr>
                  </w:pPr>
                  <w:r>
                    <w:rPr>
                      <w:rFonts w:cs="Times New Roman"/>
                      <w:bCs/>
                      <w:color w:val="000000"/>
                      <w:kern w:val="0"/>
                      <w:lang w:val="en-US" w:eastAsia="zh-CN"/>
                    </w:rPr>
                    <w:t>中国境内</w:t>
                  </w:r>
                </w:p>
              </w:tc>
              <w:tc>
                <w:tcPr>
                  <w:tcW w:w="3415" w:type="dxa"/>
                </w:tcPr>
                <w:p>
                  <w:pPr>
                    <w:pStyle w:val="5"/>
                    <w:ind w:firstLine="0" w:firstLineChars="0"/>
                    <w:rPr>
                      <w:lang w:eastAsia="zh-CN"/>
                    </w:rPr>
                  </w:pPr>
                  <w:r>
                    <w:rPr>
                      <w:bCs/>
                      <w:color w:val="000000"/>
                      <w:kern w:val="0"/>
                      <w:lang w:val="en-US"/>
                    </w:rPr>
                    <w:t>信产基金</w:t>
                  </w:r>
                  <w:bookmarkStart w:id="0" w:name="_GoBack"/>
                  <w:bookmarkEnd w:id="0"/>
                  <w:r>
                    <w:rPr>
                      <w:rFonts w:hint="eastAsia" w:cs="Times New Roman"/>
                      <w:lang w:eastAsia="zh-CN"/>
                    </w:rPr>
                    <w:t>：0-5%</w:t>
                  </w:r>
                </w:p>
              </w:tc>
            </w:tr>
          </w:tbl>
          <w:p>
            <w:pPr>
              <w:pStyle w:val="5"/>
              <w:ind w:firstLine="0" w:firstLineChars="0"/>
              <w:rPr>
                <w:lang w:val="en-US" w:eastAsia="zh-CN"/>
              </w:rPr>
            </w:pPr>
          </w:p>
        </w:tc>
      </w:tr>
    </w:tbl>
    <w:p>
      <w:pPr>
        <w:rPr>
          <w:rFonts w:hint="eastAsia"/>
        </w:rPr>
      </w:pPr>
    </w:p>
    <w:sectPr>
      <w:endnotePr>
        <w:numFmt w:val="decimal"/>
      </w:endnotePr>
      <w:pgSz w:w="11906" w:h="16838"/>
      <w:pgMar w:top="1984" w:right="1474" w:bottom="1644" w:left="147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SimSun">
    <w:panose1 w:val="02010600030101010101"/>
    <w:charset w:val="86"/>
    <w:family w:val="auto"/>
    <w:pitch w:val="default"/>
    <w:sig w:usb0="00000003" w:usb1="288F0000" w:usb2="00000006" w:usb3="00000000" w:csb0="00040001" w:csb1="00000000"/>
  </w:font>
  <w:font w:name="Simplified Arabic">
    <w:altName w:val="Times New Roman"/>
    <w:panose1 w:val="02020603050405020304"/>
    <w:charset w:val="B2"/>
    <w:family w:val="roman"/>
    <w:pitch w:val="default"/>
    <w:sig w:usb0="00000000" w:usb1="00000000" w:usb2="00000008" w:usb3="00000000" w:csb0="00000041" w:csb1="00000000"/>
  </w:font>
  <w:font w:name="SimHei">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true"/>
  <w:bordersDoNotSurroundFooter w:val="true"/>
  <w:documentProtection w:enforcement="0"/>
  <w:defaultTabStop w:val="720"/>
  <w:drawingGridVerticalSpacing w:val="156"/>
  <w:noPunctuationKerning w:val="true"/>
  <w:characterSpacingControl w:val="doNotCompress"/>
  <w:endnotePr>
    <w:numFmt w:val="decimal"/>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FFD3381"/>
    <w:rsid w:val="000130C6"/>
    <w:rsid w:val="00071C32"/>
    <w:rsid w:val="000C1062"/>
    <w:rsid w:val="00116A62"/>
    <w:rsid w:val="001304C9"/>
    <w:rsid w:val="001454D3"/>
    <w:rsid w:val="00172581"/>
    <w:rsid w:val="001D5A67"/>
    <w:rsid w:val="00202621"/>
    <w:rsid w:val="00210CFA"/>
    <w:rsid w:val="00281882"/>
    <w:rsid w:val="0029035F"/>
    <w:rsid w:val="002B7FC2"/>
    <w:rsid w:val="002D0D83"/>
    <w:rsid w:val="00313BF8"/>
    <w:rsid w:val="003264D0"/>
    <w:rsid w:val="00363ABD"/>
    <w:rsid w:val="003735DF"/>
    <w:rsid w:val="003B4C97"/>
    <w:rsid w:val="003B5FA6"/>
    <w:rsid w:val="003C64D3"/>
    <w:rsid w:val="003F6AAF"/>
    <w:rsid w:val="00480749"/>
    <w:rsid w:val="0049117F"/>
    <w:rsid w:val="00491DD5"/>
    <w:rsid w:val="004B2DE4"/>
    <w:rsid w:val="004D4359"/>
    <w:rsid w:val="004F2A9F"/>
    <w:rsid w:val="005422F6"/>
    <w:rsid w:val="00580F06"/>
    <w:rsid w:val="0059781A"/>
    <w:rsid w:val="006146D1"/>
    <w:rsid w:val="0064090C"/>
    <w:rsid w:val="00700018"/>
    <w:rsid w:val="00700DC1"/>
    <w:rsid w:val="00706D1F"/>
    <w:rsid w:val="0071301A"/>
    <w:rsid w:val="0072542E"/>
    <w:rsid w:val="007431A5"/>
    <w:rsid w:val="007562B6"/>
    <w:rsid w:val="007B00AE"/>
    <w:rsid w:val="00804DC0"/>
    <w:rsid w:val="008977F0"/>
    <w:rsid w:val="008F7ADA"/>
    <w:rsid w:val="0090010C"/>
    <w:rsid w:val="00902152"/>
    <w:rsid w:val="009028CC"/>
    <w:rsid w:val="0092740A"/>
    <w:rsid w:val="00943A7D"/>
    <w:rsid w:val="00954C4E"/>
    <w:rsid w:val="00964346"/>
    <w:rsid w:val="009F0AFB"/>
    <w:rsid w:val="00A021B9"/>
    <w:rsid w:val="00A47451"/>
    <w:rsid w:val="00A5725E"/>
    <w:rsid w:val="00A64FF3"/>
    <w:rsid w:val="00B1203A"/>
    <w:rsid w:val="00B23224"/>
    <w:rsid w:val="00B2435B"/>
    <w:rsid w:val="00B974F4"/>
    <w:rsid w:val="00CA5085"/>
    <w:rsid w:val="00CB09C9"/>
    <w:rsid w:val="00CC1835"/>
    <w:rsid w:val="00CF50C1"/>
    <w:rsid w:val="00D15367"/>
    <w:rsid w:val="00D27D9D"/>
    <w:rsid w:val="00DB30AB"/>
    <w:rsid w:val="00E04EE7"/>
    <w:rsid w:val="00E53635"/>
    <w:rsid w:val="00EA3903"/>
    <w:rsid w:val="00EA48EF"/>
    <w:rsid w:val="00EC3D18"/>
    <w:rsid w:val="00EC5F1D"/>
    <w:rsid w:val="00ED2293"/>
    <w:rsid w:val="00F013E6"/>
    <w:rsid w:val="00F16B04"/>
    <w:rsid w:val="00F6220B"/>
    <w:rsid w:val="00FB704E"/>
    <w:rsid w:val="4FE9E894"/>
    <w:rsid w:val="57FAF72B"/>
    <w:rsid w:val="6FF70246"/>
    <w:rsid w:val="739928D6"/>
    <w:rsid w:val="7BEB38D6"/>
    <w:rsid w:val="7BFB9F21"/>
    <w:rsid w:val="BBDB7BEB"/>
    <w:rsid w:val="BDFF9B44"/>
    <w:rsid w:val="BEDAC5AC"/>
    <w:rsid w:val="BF37F9B8"/>
    <w:rsid w:val="CFFD3381"/>
    <w:rsid w:val="DFFC55FB"/>
    <w:rsid w:val="EFF7A5AF"/>
    <w:rsid w:val="EFF7D440"/>
    <w:rsid w:val="F37F4773"/>
    <w:rsid w:val="FDEB7D3F"/>
    <w:rsid w:val="FEED69F6"/>
    <w:rsid w:val="FEFA80E7"/>
    <w:rsid w:val="FFE52CEE"/>
    <w:rsid w:val="FFFD87E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SimSun" w:cs="Times New Roman"/>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99"/>
  </w:style>
  <w:style w:type="paragraph" w:styleId="3">
    <w:name w:val="annotation text"/>
    <w:basedOn w:val="1"/>
    <w:qFormat/>
    <w:uiPriority w:val="0"/>
    <w:pPr>
      <w:jc w:val="left"/>
    </w:pPr>
  </w:style>
  <w:style w:type="paragraph" w:styleId="4">
    <w:name w:val="Body Text"/>
    <w:basedOn w:val="1"/>
    <w:next w:val="5"/>
    <w:qFormat/>
    <w:uiPriority w:val="0"/>
    <w:pPr>
      <w:spacing w:after="240"/>
    </w:pPr>
    <w:rPr>
      <w:rFonts w:cs="Simplified Arabic"/>
      <w:sz w:val="24"/>
      <w:lang w:val="en-GB" w:eastAsia="en-GB" w:bidi="ar-AE"/>
    </w:rPr>
  </w:style>
  <w:style w:type="paragraph" w:styleId="5">
    <w:name w:val="Body Text First Indent"/>
    <w:basedOn w:val="4"/>
    <w:qFormat/>
    <w:uiPriority w:val="0"/>
    <w:pPr>
      <w:ind w:firstLine="420" w:firstLineChars="100"/>
    </w:pPr>
  </w:style>
  <w:style w:type="paragraph" w:styleId="6">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table" w:styleId="8">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
  </w:style>
  <w:style w:type="character" w:styleId="10">
    <w:name w:val="Hyperlink"/>
    <w:basedOn w:val="9"/>
    <w:qFormat/>
    <w:uiPriority w:val="0"/>
    <w:rPr>
      <w:color w:val="0026E5" w:themeColor="hyperlink"/>
      <w:u w:val="single"/>
      <w14:textFill>
        <w14:solidFill>
          <w14:schemeClr w14:val="hlink"/>
        </w14:solidFill>
      </w14:textFill>
    </w:rPr>
  </w:style>
  <w:style w:type="character" w:styleId="11">
    <w:name w:val="annotation reference"/>
    <w:basedOn w:val="9"/>
    <w:qFormat/>
    <w:uiPriority w:val="0"/>
    <w:rPr>
      <w:sz w:val="21"/>
      <w:szCs w:val="21"/>
    </w:rPr>
  </w:style>
  <w:style w:type="paragraph" w:customStyle="1" w:styleId="12">
    <w:name w:val="修订1"/>
    <w:hidden/>
    <w:unhideWhenUsed/>
    <w:qFormat/>
    <w:uiPriority w:val="99"/>
    <w:rPr>
      <w:rFonts w:ascii="Times New Roman" w:hAnsi="Times New Roman" w:eastAsia="SimSun" w:cs="Times New Roman"/>
      <w:kern w:val="2"/>
      <w:sz w:val="21"/>
      <w:szCs w:val="24"/>
      <w:lang w:val="en-US" w:eastAsia="zh-CN" w:bidi="ar-SA"/>
    </w:rPr>
  </w:style>
  <w:style w:type="paragraph" w:customStyle="1" w:styleId="13">
    <w:name w:val="Revision1"/>
    <w:hidden/>
    <w:unhideWhenUsed/>
    <w:qFormat/>
    <w:uiPriority w:val="99"/>
    <w:rPr>
      <w:rFonts w:ascii="Times New Roman" w:hAnsi="Times New Roman" w:eastAsia="SimSun" w:cs="Times New Roman"/>
      <w:kern w:val="2"/>
      <w:sz w:val="21"/>
      <w:szCs w:val="24"/>
      <w:lang w:val="en-US" w:eastAsia="zh-CN" w:bidi="ar-SA"/>
    </w:rPr>
  </w:style>
  <w:style w:type="paragraph" w:customStyle="1" w:styleId="14">
    <w:name w:val="Revision2"/>
    <w:hidden/>
    <w:unhideWhenUsed/>
    <w:qFormat/>
    <w:uiPriority w:val="99"/>
    <w:rPr>
      <w:rFonts w:ascii="Times New Roman" w:hAnsi="Times New Roman" w:eastAsia="SimSun" w:cs="Times New Roman"/>
      <w:kern w:val="2"/>
      <w:sz w:val="21"/>
      <w:szCs w:val="24"/>
      <w:lang w:val="en-US" w:eastAsia="zh-CN" w:bidi="ar-SA"/>
    </w:rPr>
  </w:style>
  <w:style w:type="paragraph" w:customStyle="1" w:styleId="15">
    <w:name w:val="正文1"/>
    <w:qFormat/>
    <w:uiPriority w:val="0"/>
    <w:pPr>
      <w:widowControl w:val="0"/>
      <w:jc w:val="both"/>
    </w:pPr>
    <w:rPr>
      <w:rFonts w:ascii="Calibri" w:hAnsi="Calibri" w:eastAsia="Times New Roman" w:cs="Calibri"/>
      <w:kern w:val="2"/>
      <w:sz w:val="21"/>
      <w:szCs w:val="21"/>
      <w:lang w:val="zh-CN" w:eastAsia="zh-CN" w:bidi="ar-SA"/>
    </w:rPr>
  </w:style>
  <w:style w:type="paragraph" w:customStyle="1" w:styleId="16">
    <w:name w:val="Revision"/>
    <w:hidden/>
    <w:unhideWhenUsed/>
    <w:qFormat/>
    <w:uiPriority w:val="99"/>
    <w:rPr>
      <w:rFonts w:ascii="Times New Roman" w:hAnsi="Times New Roman" w:eastAsia="SimSun" w:cs="Times New Roman"/>
      <w:kern w:val="2"/>
      <w:sz w:val="21"/>
      <w:szCs w:val="24"/>
      <w:lang w:val="en-US" w:eastAsia="zh-CN" w:bidi="ar-SA"/>
    </w:rPr>
  </w:style>
  <w:style w:type="character" w:customStyle="1" w:styleId="17">
    <w:name w:val="Unresolved Mention"/>
    <w:basedOn w:val="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122</Words>
  <Characters>702</Characters>
  <Lines>5</Lines>
  <Paragraphs>1</Paragraphs>
  <TotalTime>0</TotalTime>
  <ScaleCrop>false</ScaleCrop>
  <LinksUpToDate>false</LinksUpToDate>
  <CharactersWithSpaces>823</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2024-11-02T16:04:00Z</dcterms:created>
  <dc:creator>通商张艺之</dc:creator>
  <cp:lastModifiedBy>scjgj</cp:lastModifiedBy>
  <dcterms:modified xsi:type="dcterms:W3CDTF">2026-06-01T14:20:07Z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0440CAC55CA27B7C9607216702F69EC9_41</vt:lpwstr>
  </property>
</Properties>
</file>