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8967C">
      <w:pPr>
        <w:widowControl/>
        <w:spacing w:after="240"/>
        <w:jc w:val="center"/>
        <w:rPr>
          <w:b/>
          <w:bCs/>
          <w:kern w:val="0"/>
          <w:sz w:val="36"/>
          <w:szCs w:val="36"/>
          <w:lang w:val="en-GB" w:bidi="ar-AE"/>
        </w:rPr>
      </w:pPr>
      <w:r>
        <w:rPr>
          <w:b/>
          <w:bCs/>
          <w:kern w:val="0"/>
          <w:sz w:val="36"/>
          <w:szCs w:val="36"/>
          <w:lang w:val="en-GB" w:bidi="ar-AE"/>
        </w:rPr>
        <w:t>经营者集中简易案件公示表</w:t>
      </w:r>
    </w:p>
    <w:p w14:paraId="075DDD5B">
      <w:pPr>
        <w:widowControl/>
        <w:spacing w:after="240"/>
        <w:jc w:val="center"/>
        <w:rPr>
          <w:rFonts w:hint="eastAsia" w:ascii="方正小标宋简体" w:hAnsi="方正小标宋简体" w:eastAsia="方正小标宋简体" w:cs="方正小标宋简体"/>
          <w:bCs/>
          <w:kern w:val="0"/>
          <w:sz w:val="44"/>
          <w:szCs w:val="44"/>
          <w:lang w:val="en-GB" w:bidi="ar-AE"/>
        </w:rPr>
      </w:pPr>
      <w:r>
        <w:rPr>
          <w:rFonts w:hint="eastAsia" w:ascii="方正小标宋简体" w:hAnsi="方正小标宋简体" w:eastAsia="方正小标宋简体" w:cs="方正小标宋简体"/>
          <w:bCs/>
          <w:kern w:val="0"/>
          <w:sz w:val="44"/>
          <w:szCs w:val="44"/>
          <w:lang w:val="en-GB" w:bidi="ar-AE"/>
        </w:rPr>
        <w:t>经营者集中简易案件公示表</w:t>
      </w:r>
    </w:p>
    <w:tbl>
      <w:tblPr>
        <w:tblStyle w:val="8"/>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3139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6055F9A3">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en-US" w:bidi="ar-SA"/>
              </w:rPr>
            </w:pPr>
            <w:r>
              <w:rPr>
                <w:rFonts w:hint="default" w:ascii="Times New Roman" w:hAnsi="Times New Roman" w:eastAsia="宋体" w:cs="Times New Roman"/>
                <w:bCs/>
                <w:color w:val="000000"/>
                <w:kern w:val="0"/>
                <w:sz w:val="24"/>
                <w:szCs w:val="24"/>
                <w:lang w:val="en-GB" w:eastAsia="en-US" w:bidi="ar-SA"/>
              </w:rPr>
              <w:t>案件名称</w:t>
            </w:r>
          </w:p>
        </w:tc>
        <w:tc>
          <w:tcPr>
            <w:tcW w:w="7700" w:type="dxa"/>
            <w:gridSpan w:val="2"/>
            <w:vAlign w:val="center"/>
          </w:tcPr>
          <w:p w14:paraId="134EA545">
            <w:pPr>
              <w:adjustRightInd w:val="0"/>
              <w:snapToGrid w:val="0"/>
              <w:spacing w:line="264" w:lineRule="auto"/>
              <w:rPr>
                <w:rFonts w:hint="default" w:ascii="Times New Roman" w:hAnsi="Times New Roman" w:cs="Times New Roman"/>
                <w:bCs/>
                <w:color w:val="000000"/>
                <w:sz w:val="24"/>
              </w:rPr>
            </w:pPr>
            <w:r>
              <w:rPr>
                <w:rFonts w:hint="default" w:ascii="Times New Roman" w:hAnsi="Times New Roman" w:cs="Times New Roman"/>
                <w:bCs/>
                <w:color w:val="000000"/>
                <w:sz w:val="24"/>
              </w:rPr>
              <w:t>华润文化体育发展有限公司与宜宾合城商业运营管理有限公司新设合营企业案</w:t>
            </w:r>
          </w:p>
        </w:tc>
      </w:tr>
      <w:tr w14:paraId="315F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14:paraId="44B003E7">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t>交易概况（限200字内）</w:t>
            </w:r>
          </w:p>
        </w:tc>
        <w:tc>
          <w:tcPr>
            <w:tcW w:w="7700" w:type="dxa"/>
            <w:gridSpan w:val="2"/>
            <w:vAlign w:val="center"/>
          </w:tcPr>
          <w:p w14:paraId="451EC822">
            <w:pPr>
              <w:widowControl/>
              <w:adjustRightInd w:val="0"/>
              <w:snapToGrid w:val="0"/>
              <w:spacing w:after="0" w:line="264" w:lineRule="auto"/>
              <w:ind w:firstLine="0" w:firstLineChars="0"/>
              <w:jc w:val="both"/>
              <w:rPr>
                <w:rFonts w:hint="default" w:ascii="Times New Roman" w:hAnsi="Times New Roman" w:eastAsia="宋体" w:cs="Times New Roman"/>
                <w:bCs/>
                <w:color w:val="000000"/>
                <w:kern w:val="0"/>
                <w:sz w:val="24"/>
                <w:szCs w:val="20"/>
                <w:lang w:val="en-US" w:eastAsia="zh-CN" w:bidi="ar-SA"/>
              </w:rPr>
            </w:pPr>
            <w:r>
              <w:rPr>
                <w:rFonts w:hint="default" w:ascii="Times New Roman" w:hAnsi="Times New Roman" w:eastAsia="宋体" w:cs="Times New Roman"/>
                <w:bCs/>
                <w:color w:val="000000"/>
                <w:kern w:val="0"/>
                <w:sz w:val="24"/>
                <w:szCs w:val="20"/>
                <w:lang w:val="en-US" w:eastAsia="zh-CN" w:bidi="ar-SA"/>
              </w:rPr>
              <w:t>华润文化体育发展有限公司（“华润文体”）、宜宾合城商业运营管理有限公司（“宜宾合城”）与宜宾发展产城投资有限公司签署协议，拟共同新设合营企业。合营企业主要从事体育场馆运营管理业务。交易后，华润文体和宜宾合城将分别持有合营企业60%和40%的股权，共同控制合营企业。</w:t>
            </w:r>
          </w:p>
        </w:tc>
      </w:tr>
      <w:tr w14:paraId="358A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14:paraId="04542EBB">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t>参与集中的经营者简介（每个限</w:t>
            </w:r>
            <w:r>
              <w:rPr>
                <w:rFonts w:hint="default" w:ascii="Times New Roman" w:hAnsi="Times New Roman" w:eastAsia="宋体" w:cs="Times New Roman"/>
                <w:bCs/>
                <w:color w:val="000000"/>
                <w:kern w:val="0"/>
                <w:sz w:val="24"/>
                <w:szCs w:val="24"/>
                <w:lang w:val="en-US" w:eastAsia="zh-CN" w:bidi="ar-SA"/>
              </w:rPr>
              <w:t>100字以内</w:t>
            </w:r>
            <w:r>
              <w:rPr>
                <w:rFonts w:hint="default" w:ascii="Times New Roman" w:hAnsi="Times New Roman" w:eastAsia="宋体" w:cs="Times New Roman"/>
                <w:bCs/>
                <w:color w:val="000000"/>
                <w:kern w:val="0"/>
                <w:sz w:val="24"/>
                <w:szCs w:val="24"/>
                <w:lang w:val="en-GB" w:eastAsia="zh-CN" w:bidi="ar-SA"/>
              </w:rPr>
              <w:t>）</w:t>
            </w:r>
          </w:p>
        </w:tc>
        <w:tc>
          <w:tcPr>
            <w:tcW w:w="1607" w:type="dxa"/>
            <w:vAlign w:val="center"/>
          </w:tcPr>
          <w:p w14:paraId="77C53FC1">
            <w:pPr>
              <w:widowControl/>
              <w:adjustRightInd w:val="0"/>
              <w:snapToGrid w:val="0"/>
              <w:spacing w:after="0" w:line="264" w:lineRule="auto"/>
              <w:jc w:val="center"/>
              <w:rPr>
                <w:rFonts w:hint="default" w:ascii="Times New Roman" w:hAnsi="Times New Roman" w:eastAsia="宋体" w:cs="Times New Roman"/>
                <w:bCs/>
                <w:color w:val="000000"/>
                <w:kern w:val="0"/>
                <w:sz w:val="24"/>
                <w:szCs w:val="24"/>
                <w:lang w:val="en-GB" w:eastAsia="zh-CN" w:bidi="ar-SA"/>
              </w:rPr>
            </w:pPr>
            <w:r>
              <w:rPr>
                <w:rFonts w:hint="default" w:ascii="Times New Roman" w:hAnsi="Times New Roman" w:eastAsia="宋体" w:cs="Times New Roman"/>
                <w:bCs/>
                <w:color w:val="000000"/>
                <w:kern w:val="0"/>
                <w:sz w:val="24"/>
                <w:szCs w:val="20"/>
                <w:lang w:val="en-US" w:eastAsia="zh-CN" w:bidi="ar-SA"/>
              </w:rPr>
              <w:t>1.华润文体</w:t>
            </w:r>
          </w:p>
        </w:tc>
        <w:tc>
          <w:tcPr>
            <w:tcW w:w="6093" w:type="dxa"/>
            <w:vAlign w:val="center"/>
          </w:tcPr>
          <w:p w14:paraId="4DDBB6C4">
            <w:pPr>
              <w:widowControl/>
              <w:adjustRightInd w:val="0"/>
              <w:snapToGrid w:val="0"/>
              <w:spacing w:after="0" w:line="264" w:lineRule="auto"/>
              <w:ind w:firstLine="0" w:firstLineChars="0"/>
              <w:jc w:val="both"/>
              <w:rPr>
                <w:rFonts w:hint="default" w:ascii="Times New Roman" w:hAnsi="Times New Roman" w:eastAsia="宋体" w:cs="Times New Roman"/>
                <w:kern w:val="0"/>
                <w:sz w:val="24"/>
                <w:szCs w:val="20"/>
                <w:lang w:val="en-GB" w:eastAsia="zh-CN" w:bidi="ar-SA"/>
              </w:rPr>
            </w:pPr>
            <w:r>
              <w:rPr>
                <w:rFonts w:hint="default" w:ascii="Times New Roman" w:hAnsi="Times New Roman" w:eastAsia="宋体" w:cs="Times New Roman"/>
                <w:kern w:val="0"/>
                <w:sz w:val="24"/>
                <w:szCs w:val="20"/>
                <w:lang w:val="en-GB" w:eastAsia="zh-CN" w:bidi="ar-SA"/>
              </w:rPr>
              <w:t>华润文体于2017年8月10日成立于广东省深圳市，主要业务为体育场馆运营管理、体育赛事运营。</w:t>
            </w:r>
          </w:p>
          <w:p w14:paraId="28C24F3C">
            <w:pPr>
              <w:widowControl/>
              <w:adjustRightInd w:val="0"/>
              <w:snapToGrid w:val="0"/>
              <w:spacing w:after="0" w:line="264" w:lineRule="auto"/>
              <w:ind w:firstLine="0" w:firstLineChars="0"/>
              <w:jc w:val="both"/>
              <w:rPr>
                <w:rFonts w:hint="default" w:ascii="Times New Roman" w:hAnsi="Times New Roman" w:eastAsia="宋体" w:cs="Times New Roman"/>
                <w:kern w:val="0"/>
                <w:sz w:val="22"/>
                <w:szCs w:val="20"/>
                <w:lang w:val="en-GB" w:eastAsia="zh-CN" w:bidi="ar-AE"/>
              </w:rPr>
            </w:pPr>
            <w:r>
              <w:rPr>
                <w:rFonts w:hint="default" w:ascii="Times New Roman" w:hAnsi="Times New Roman" w:eastAsia="宋体" w:cs="Times New Roman"/>
                <w:kern w:val="0"/>
                <w:sz w:val="24"/>
                <w:szCs w:val="20"/>
                <w:lang w:val="en-GB" w:eastAsia="zh-CN" w:bidi="ar-SA"/>
              </w:rPr>
              <w:t>华润文体最终控制人为中国华润有限公司，主要业务涉及大消费、综合能源、城市建设与运营、大健康、产业金融、科技及新兴产业领域。</w:t>
            </w:r>
          </w:p>
        </w:tc>
      </w:tr>
      <w:tr w14:paraId="7D53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39B81A26">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p>
        </w:tc>
        <w:tc>
          <w:tcPr>
            <w:tcW w:w="1607" w:type="dxa"/>
            <w:vAlign w:val="center"/>
          </w:tcPr>
          <w:p w14:paraId="1751CA16">
            <w:pPr>
              <w:widowControl/>
              <w:adjustRightInd w:val="0"/>
              <w:snapToGrid w:val="0"/>
              <w:spacing w:after="0" w:line="264" w:lineRule="auto"/>
              <w:jc w:val="center"/>
              <w:rPr>
                <w:rFonts w:hint="default" w:ascii="Times New Roman" w:hAnsi="Times New Roman" w:eastAsia="宋体" w:cs="Times New Roman"/>
                <w:bCs/>
                <w:color w:val="000000"/>
                <w:kern w:val="0"/>
                <w:sz w:val="24"/>
                <w:szCs w:val="24"/>
                <w:lang w:val="en-GB" w:eastAsia="zh-CN" w:bidi="ar-SA"/>
              </w:rPr>
            </w:pPr>
            <w:r>
              <w:rPr>
                <w:rFonts w:hint="default" w:ascii="Times New Roman" w:hAnsi="Times New Roman" w:eastAsia="宋体" w:cs="Times New Roman"/>
                <w:bCs/>
                <w:color w:val="000000"/>
                <w:kern w:val="0"/>
                <w:sz w:val="24"/>
                <w:szCs w:val="24"/>
                <w:lang w:val="en-US" w:eastAsia="zh-CN" w:bidi="ar-SA"/>
              </w:rPr>
              <w:t>2.宜宾合城</w:t>
            </w:r>
          </w:p>
        </w:tc>
        <w:tc>
          <w:tcPr>
            <w:tcW w:w="6093" w:type="dxa"/>
            <w:vAlign w:val="center"/>
          </w:tcPr>
          <w:p w14:paraId="27D3390C">
            <w:pPr>
              <w:adjustRightInd w:val="0"/>
              <w:snapToGrid w:val="0"/>
              <w:spacing w:line="264" w:lineRule="auto"/>
              <w:rPr>
                <w:rFonts w:hint="default" w:ascii="Times New Roman" w:hAnsi="Times New Roman" w:cs="Times New Roman"/>
                <w:bCs/>
                <w:color w:val="000000"/>
                <w:sz w:val="24"/>
                <w:lang w:val="en-GB" w:bidi="ar-AE"/>
              </w:rPr>
            </w:pPr>
            <w:r>
              <w:rPr>
                <w:rFonts w:hint="default" w:ascii="Times New Roman" w:hAnsi="Times New Roman" w:cs="Times New Roman"/>
                <w:bCs/>
                <w:color w:val="000000"/>
                <w:sz w:val="24"/>
                <w:lang w:val="en-GB" w:bidi="ar-AE"/>
              </w:rPr>
              <w:t>宜宾合城于2024年6月19日成立于四川省宜宾市，主要业务为体育场馆运营管理、商业运营管理、城市配套经营管理等。</w:t>
            </w:r>
          </w:p>
          <w:p w14:paraId="22151128">
            <w:pPr>
              <w:widowControl/>
              <w:adjustRightInd w:val="0"/>
              <w:snapToGrid w:val="0"/>
              <w:spacing w:after="0" w:line="264" w:lineRule="auto"/>
              <w:ind w:firstLine="0" w:firstLineChars="0"/>
              <w:jc w:val="both"/>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0"/>
                <w:lang w:val="en-US" w:eastAsia="zh-CN" w:bidi="ar-SA"/>
              </w:rPr>
              <w:t>宜宾合城的最终控制人为宜宾发展控股集团有限公司，主要从事国有资本的运营和管理业务。</w:t>
            </w:r>
          </w:p>
        </w:tc>
      </w:tr>
      <w:tr w14:paraId="0897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14:paraId="673E3D78">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t>简易案件理由（可以单选，也可以多选）</w:t>
            </w:r>
          </w:p>
        </w:tc>
        <w:tc>
          <w:tcPr>
            <w:tcW w:w="7700" w:type="dxa"/>
            <w:gridSpan w:val="2"/>
            <w:vAlign w:val="center"/>
          </w:tcPr>
          <w:p w14:paraId="4B9275C5">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sym w:font="Wingdings" w:char="F0FE"/>
            </w:r>
            <w:r>
              <w:rPr>
                <w:rFonts w:hint="default" w:ascii="Times New Roman" w:hAnsi="Times New Roman" w:eastAsia="宋体" w:cs="Times New Roman"/>
                <w:bCs/>
                <w:color w:val="000000"/>
                <w:kern w:val="0"/>
                <w:sz w:val="24"/>
                <w:szCs w:val="24"/>
                <w:lang w:val="en-GB" w:eastAsia="zh-CN" w:bidi="ar-SA"/>
              </w:rPr>
              <w:t>1、在同一相关市场，所有参与集中的经营者所占市场份额之和小于15%。</w:t>
            </w:r>
          </w:p>
        </w:tc>
      </w:tr>
      <w:tr w14:paraId="532D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14:paraId="7EA8FF05">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p>
        </w:tc>
        <w:tc>
          <w:tcPr>
            <w:tcW w:w="7700" w:type="dxa"/>
            <w:gridSpan w:val="2"/>
            <w:vAlign w:val="center"/>
          </w:tcPr>
          <w:p w14:paraId="6B88DBDA">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sym w:font="Wingdings" w:char="F0FE"/>
            </w:r>
            <w:r>
              <w:rPr>
                <w:rFonts w:hint="default" w:ascii="Times New Roman" w:hAnsi="Times New Roman" w:eastAsia="宋体" w:cs="Times New Roman"/>
                <w:bCs/>
                <w:color w:val="000000"/>
                <w:kern w:val="0"/>
                <w:sz w:val="24"/>
                <w:szCs w:val="24"/>
                <w:lang w:val="en-GB" w:eastAsia="zh-CN" w:bidi="ar-SA"/>
              </w:rPr>
              <w:t>2、存在上下游关系的参与集中的经营者，在上下游市场所占的市场份额均小于25%。</w:t>
            </w:r>
          </w:p>
        </w:tc>
      </w:tr>
      <w:tr w14:paraId="53C3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14:paraId="7F3448FB">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p>
        </w:tc>
        <w:tc>
          <w:tcPr>
            <w:tcW w:w="7700" w:type="dxa"/>
            <w:gridSpan w:val="2"/>
            <w:vAlign w:val="center"/>
          </w:tcPr>
          <w:p w14:paraId="23B00BFD">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sym w:font="Wingdings" w:char="00A8"/>
            </w:r>
            <w:r>
              <w:rPr>
                <w:rFonts w:hint="default" w:ascii="Times New Roman" w:hAnsi="Times New Roman" w:eastAsia="宋体" w:cs="Times New Roman"/>
                <w:bCs/>
                <w:color w:val="000000"/>
                <w:kern w:val="0"/>
                <w:sz w:val="24"/>
                <w:szCs w:val="24"/>
                <w:lang w:val="en-GB" w:eastAsia="zh-CN" w:bidi="ar-SA"/>
              </w:rPr>
              <w:t xml:space="preserve"> 3、不在同一相关市场、也不存在上下游关系的参与集中的经营者，在与交易有关的每个市场所占的份额均小于25%。</w:t>
            </w:r>
          </w:p>
        </w:tc>
      </w:tr>
      <w:tr w14:paraId="4E7B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14:paraId="7B290DBF">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p>
        </w:tc>
        <w:tc>
          <w:tcPr>
            <w:tcW w:w="7700" w:type="dxa"/>
            <w:gridSpan w:val="2"/>
            <w:vAlign w:val="center"/>
          </w:tcPr>
          <w:p w14:paraId="3191C2CF">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sym w:font="Wingdings" w:char="00A8"/>
            </w:r>
            <w:r>
              <w:rPr>
                <w:rFonts w:hint="default" w:ascii="Times New Roman" w:hAnsi="Times New Roman" w:eastAsia="宋体" w:cs="Times New Roman"/>
                <w:bCs/>
                <w:color w:val="000000"/>
                <w:kern w:val="0"/>
                <w:sz w:val="24"/>
                <w:szCs w:val="24"/>
                <w:lang w:val="en-GB" w:eastAsia="zh-CN" w:bidi="ar-SA"/>
              </w:rPr>
              <w:t xml:space="preserve"> 4、参与集中的经营者在中国境外设立合营企业，合营企业不在中国境内从事经济活动。</w:t>
            </w:r>
          </w:p>
        </w:tc>
      </w:tr>
      <w:tr w14:paraId="7EA9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14:paraId="72C34CD1">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p>
        </w:tc>
        <w:tc>
          <w:tcPr>
            <w:tcW w:w="7700" w:type="dxa"/>
            <w:gridSpan w:val="2"/>
            <w:vAlign w:val="center"/>
          </w:tcPr>
          <w:p w14:paraId="55DEB1BF">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sym w:font="Wingdings" w:char="00A8"/>
            </w:r>
            <w:r>
              <w:rPr>
                <w:rFonts w:hint="default" w:ascii="Times New Roman" w:hAnsi="Times New Roman" w:eastAsia="宋体" w:cs="Times New Roman"/>
                <w:bCs/>
                <w:color w:val="000000"/>
                <w:kern w:val="0"/>
                <w:sz w:val="24"/>
                <w:szCs w:val="24"/>
                <w:lang w:val="en-GB" w:eastAsia="zh-CN" w:bidi="ar-SA"/>
              </w:rPr>
              <w:t xml:space="preserve"> 5、参与集中的经营者收购境外企业股权或资产的，该境外企业不在中国境内从事经济活动。</w:t>
            </w:r>
          </w:p>
        </w:tc>
      </w:tr>
      <w:tr w14:paraId="3A2FD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14:paraId="4BFCE4C6">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p>
        </w:tc>
        <w:tc>
          <w:tcPr>
            <w:tcW w:w="7700" w:type="dxa"/>
            <w:gridSpan w:val="2"/>
            <w:vAlign w:val="center"/>
          </w:tcPr>
          <w:p w14:paraId="78F4EF32">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GB" w:eastAsia="zh-CN" w:bidi="ar-SA"/>
              </w:rPr>
              <w:sym w:font="Wingdings" w:char="00A8"/>
            </w:r>
            <w:r>
              <w:rPr>
                <w:rFonts w:hint="default" w:ascii="Times New Roman" w:hAnsi="Times New Roman" w:eastAsia="宋体" w:cs="Times New Roman"/>
                <w:bCs/>
                <w:color w:val="000000"/>
                <w:kern w:val="0"/>
                <w:sz w:val="24"/>
                <w:szCs w:val="24"/>
                <w:lang w:val="en-GB" w:eastAsia="zh-CN" w:bidi="ar-SA"/>
              </w:rPr>
              <w:t xml:space="preserve"> 6、由两个以上的经营者共同控制的合营企业，通过集中被其中一个或一个以上经营者控制。</w:t>
            </w:r>
          </w:p>
        </w:tc>
      </w:tr>
      <w:tr w14:paraId="749C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5" w:hRule="atLeast"/>
          <w:jc w:val="center"/>
        </w:trPr>
        <w:tc>
          <w:tcPr>
            <w:tcW w:w="1940" w:type="dxa"/>
            <w:shd w:val="clear" w:color="auto" w:fill="D9D9D9"/>
            <w:vAlign w:val="center"/>
          </w:tcPr>
          <w:p w14:paraId="3B57A37C">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eastAsia="宋体" w:cs="Times New Roman"/>
                <w:bCs/>
                <w:color w:val="000000"/>
                <w:kern w:val="0"/>
                <w:sz w:val="24"/>
                <w:szCs w:val="24"/>
                <w:lang w:val="en-US" w:eastAsia="zh-CN" w:bidi="ar-SA"/>
              </w:rPr>
              <w:t>备注</w:t>
            </w:r>
          </w:p>
        </w:tc>
        <w:tc>
          <w:tcPr>
            <w:tcW w:w="7700" w:type="dxa"/>
            <w:gridSpan w:val="2"/>
            <w:vAlign w:val="center"/>
          </w:tcPr>
          <w:p w14:paraId="42167C68">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GB" w:eastAsia="zh-CN" w:bidi="ar-SA"/>
              </w:rPr>
            </w:pPr>
            <w:r>
              <w:rPr>
                <w:rFonts w:hint="default" w:ascii="Times New Roman" w:hAnsi="Times New Roman" w:eastAsia="宋体" w:cs="Times New Roman"/>
                <w:b/>
                <w:bCs w:val="0"/>
                <w:color w:val="000000"/>
                <w:kern w:val="0"/>
                <w:sz w:val="24"/>
                <w:szCs w:val="24"/>
                <w:lang w:val="en-GB" w:eastAsia="zh-CN" w:bidi="ar-SA"/>
              </w:rPr>
              <w:t>横向重叠：</w:t>
            </w:r>
          </w:p>
          <w:tbl>
            <w:tblPr>
              <w:tblStyle w:val="8"/>
              <w:tblW w:w="0" w:type="auto"/>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1701"/>
              <w:gridCol w:w="2694"/>
            </w:tblGrid>
            <w:tr w14:paraId="7CD8B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9" w:type="dxa"/>
                  <w:shd w:val="clear" w:color="auto" w:fill="BFBFBF"/>
                  <w:vAlign w:val="center"/>
                </w:tcPr>
                <w:p w14:paraId="42BD39BF">
                  <w:pPr>
                    <w:jc w:val="center"/>
                    <w:rPr>
                      <w:rFonts w:hint="default" w:ascii="Times New Roman" w:hAnsi="Times New Roman" w:cs="Times New Roman"/>
                      <w:b/>
                      <w:bCs/>
                      <w:sz w:val="24"/>
                    </w:rPr>
                  </w:pPr>
                  <w:r>
                    <w:rPr>
                      <w:rFonts w:hint="default" w:ascii="Times New Roman" w:hAnsi="Times New Roman" w:cs="Times New Roman"/>
                      <w:b/>
                      <w:bCs/>
                      <w:sz w:val="24"/>
                    </w:rPr>
                    <w:t>相关商品市场</w:t>
                  </w:r>
                </w:p>
              </w:tc>
              <w:tc>
                <w:tcPr>
                  <w:tcW w:w="1701" w:type="dxa"/>
                  <w:shd w:val="clear" w:color="auto" w:fill="BFBFBF"/>
                  <w:vAlign w:val="center"/>
                </w:tcPr>
                <w:p w14:paraId="42638700">
                  <w:pPr>
                    <w:jc w:val="center"/>
                    <w:rPr>
                      <w:rFonts w:hint="default" w:ascii="Times New Roman" w:hAnsi="Times New Roman" w:cs="Times New Roman"/>
                      <w:b/>
                      <w:bCs/>
                      <w:sz w:val="24"/>
                    </w:rPr>
                  </w:pPr>
                  <w:r>
                    <w:rPr>
                      <w:rFonts w:hint="default" w:ascii="Times New Roman" w:hAnsi="Times New Roman" w:cs="Times New Roman"/>
                      <w:b/>
                      <w:bCs/>
                      <w:sz w:val="24"/>
                    </w:rPr>
                    <w:t>相关地域市场</w:t>
                  </w:r>
                </w:p>
              </w:tc>
              <w:tc>
                <w:tcPr>
                  <w:tcW w:w="2694" w:type="dxa"/>
                  <w:shd w:val="clear" w:color="auto" w:fill="BFBFBF"/>
                  <w:vAlign w:val="center"/>
                </w:tcPr>
                <w:p w14:paraId="358EB3FC">
                  <w:pPr>
                    <w:jc w:val="center"/>
                    <w:rPr>
                      <w:rFonts w:hint="default" w:ascii="Times New Roman" w:hAnsi="Times New Roman" w:cs="Times New Roman"/>
                      <w:b/>
                      <w:bCs/>
                      <w:sz w:val="24"/>
                    </w:rPr>
                  </w:pPr>
                  <w:r>
                    <w:rPr>
                      <w:rFonts w:hint="default" w:ascii="Times New Roman" w:hAnsi="Times New Roman" w:cs="Times New Roman"/>
                      <w:b/>
                      <w:bCs/>
                      <w:sz w:val="24"/>
                    </w:rPr>
                    <w:t>2025年市场份额</w:t>
                  </w:r>
                </w:p>
              </w:tc>
            </w:tr>
            <w:tr w14:paraId="7FC0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3009" w:type="dxa"/>
                  <w:vAlign w:val="center"/>
                </w:tcPr>
                <w:p w14:paraId="53F3F549">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cs="Times New Roman"/>
                      <w:bCs/>
                      <w:color w:val="000000"/>
                      <w:sz w:val="24"/>
                      <w:lang w:val="en-GB"/>
                    </w:rPr>
                    <w:t>体育场馆运营管理市场</w:t>
                  </w:r>
                </w:p>
              </w:tc>
              <w:tc>
                <w:tcPr>
                  <w:tcW w:w="1701" w:type="dxa"/>
                  <w:vAlign w:val="center"/>
                </w:tcPr>
                <w:p w14:paraId="667CC8A3">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eastAsia="宋体" w:cs="Times New Roman"/>
                      <w:kern w:val="0"/>
                      <w:sz w:val="24"/>
                      <w:szCs w:val="20"/>
                      <w:lang w:val="en-GB" w:eastAsia="zh-CN" w:bidi="ar-SA"/>
                    </w:rPr>
                    <w:t>中国</w:t>
                  </w:r>
                  <w:r>
                    <w:rPr>
                      <w:rFonts w:hint="default" w:ascii="Times New Roman" w:hAnsi="Times New Roman" w:cs="Times New Roman"/>
                      <w:bCs/>
                      <w:color w:val="000000"/>
                      <w:sz w:val="24"/>
                      <w:lang w:val="en-GB"/>
                    </w:rPr>
                    <w:t>境内</w:t>
                  </w:r>
                </w:p>
              </w:tc>
              <w:tc>
                <w:tcPr>
                  <w:tcW w:w="2694" w:type="dxa"/>
                  <w:vAlign w:val="center"/>
                </w:tcPr>
                <w:p w14:paraId="3311DB9A">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cs="Times New Roman"/>
                      <w:sz w:val="24"/>
                    </w:rPr>
                    <w:t>华润文体：</w:t>
                  </w:r>
                  <w:r>
                    <w:rPr>
                      <w:rFonts w:hint="default" w:ascii="Times New Roman" w:hAnsi="Times New Roman" w:cs="Times New Roman"/>
                      <w:bCs/>
                      <w:color w:val="000000"/>
                      <w:kern w:val="0"/>
                      <w:sz w:val="24"/>
                      <w:lang w:val="en-GB"/>
                    </w:rPr>
                    <w:t>0-5</w:t>
                  </w:r>
                  <w:r>
                    <w:rPr>
                      <w:rFonts w:hint="default" w:ascii="Times New Roman" w:hAnsi="Times New Roman" w:cs="Times New Roman"/>
                      <w:sz w:val="24"/>
                    </w:rPr>
                    <w:t>%</w:t>
                  </w:r>
                </w:p>
                <w:p w14:paraId="00BDD647">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cs="Times New Roman"/>
                      <w:sz w:val="24"/>
                    </w:rPr>
                    <w:t>宜宾合城：</w:t>
                  </w:r>
                  <w:r>
                    <w:rPr>
                      <w:rFonts w:hint="default" w:ascii="Times New Roman" w:hAnsi="Times New Roman" w:cs="Times New Roman"/>
                      <w:bCs/>
                      <w:color w:val="000000"/>
                      <w:kern w:val="0"/>
                      <w:sz w:val="24"/>
                      <w:lang w:val="en-GB"/>
                    </w:rPr>
                    <w:t>0-5</w:t>
                  </w:r>
                  <w:r>
                    <w:rPr>
                      <w:rFonts w:hint="default" w:ascii="Times New Roman" w:hAnsi="Times New Roman" w:cs="Times New Roman"/>
                      <w:sz w:val="24"/>
                    </w:rPr>
                    <w:t>%</w:t>
                  </w:r>
                </w:p>
                <w:p w14:paraId="125F901C">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cs="Times New Roman"/>
                      <w:sz w:val="24"/>
                    </w:rPr>
                    <w:t>各方合计：</w:t>
                  </w:r>
                  <w:r>
                    <w:rPr>
                      <w:rFonts w:hint="default" w:ascii="Times New Roman" w:hAnsi="Times New Roman" w:cs="Times New Roman"/>
                      <w:bCs/>
                      <w:color w:val="000000"/>
                      <w:kern w:val="0"/>
                      <w:sz w:val="24"/>
                      <w:lang w:val="en-GB"/>
                    </w:rPr>
                    <w:t>0-5</w:t>
                  </w:r>
                  <w:r>
                    <w:rPr>
                      <w:rFonts w:hint="default" w:ascii="Times New Roman" w:hAnsi="Times New Roman" w:cs="Times New Roman"/>
                      <w:sz w:val="24"/>
                    </w:rPr>
                    <w:t>%</w:t>
                  </w:r>
                </w:p>
              </w:tc>
            </w:tr>
          </w:tbl>
          <w:p w14:paraId="52ECD2F5">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GB" w:eastAsia="zh-CN" w:bidi="ar-SA"/>
              </w:rPr>
            </w:pPr>
          </w:p>
          <w:p w14:paraId="0BFE1337">
            <w:pPr>
              <w:widowControl/>
              <w:adjustRightInd w:val="0"/>
              <w:snapToGrid w:val="0"/>
              <w:spacing w:after="0" w:line="264" w:lineRule="auto"/>
              <w:jc w:val="both"/>
              <w:rPr>
                <w:rFonts w:hint="default" w:ascii="Times New Roman" w:hAnsi="Times New Roman" w:eastAsia="宋体" w:cs="Times New Roman"/>
                <w:bCs/>
                <w:color w:val="000000"/>
                <w:kern w:val="0"/>
                <w:sz w:val="24"/>
                <w:szCs w:val="24"/>
                <w:lang w:val="en-GB" w:eastAsia="zh-CN" w:bidi="ar-SA"/>
              </w:rPr>
            </w:pPr>
            <w:r>
              <w:rPr>
                <w:rFonts w:hint="default" w:ascii="Times New Roman" w:hAnsi="Times New Roman" w:eastAsia="宋体" w:cs="Times New Roman"/>
                <w:b/>
                <w:bCs w:val="0"/>
                <w:color w:val="000000"/>
                <w:kern w:val="0"/>
                <w:sz w:val="24"/>
                <w:szCs w:val="24"/>
                <w:lang w:val="en-GB" w:eastAsia="zh-CN" w:bidi="ar-SA"/>
              </w:rPr>
              <w:t>纵向关联：</w:t>
            </w:r>
          </w:p>
          <w:tbl>
            <w:tblPr>
              <w:tblStyle w:val="8"/>
              <w:tblW w:w="0" w:type="auto"/>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1701"/>
              <w:gridCol w:w="2694"/>
            </w:tblGrid>
            <w:tr w14:paraId="23965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9" w:type="dxa"/>
                  <w:shd w:val="clear" w:color="auto" w:fill="BFBFBF"/>
                  <w:vAlign w:val="center"/>
                </w:tcPr>
                <w:p w14:paraId="159C1120">
                  <w:pPr>
                    <w:jc w:val="center"/>
                    <w:rPr>
                      <w:rFonts w:hint="default" w:ascii="Times New Roman" w:hAnsi="Times New Roman" w:cs="Times New Roman"/>
                      <w:b/>
                      <w:bCs/>
                      <w:sz w:val="24"/>
                    </w:rPr>
                  </w:pPr>
                  <w:r>
                    <w:rPr>
                      <w:rFonts w:hint="default" w:ascii="Times New Roman" w:hAnsi="Times New Roman" w:cs="Times New Roman"/>
                      <w:b/>
                      <w:bCs/>
                      <w:sz w:val="24"/>
                    </w:rPr>
                    <w:t>相关商品市场</w:t>
                  </w:r>
                </w:p>
              </w:tc>
              <w:tc>
                <w:tcPr>
                  <w:tcW w:w="1701" w:type="dxa"/>
                  <w:shd w:val="clear" w:color="auto" w:fill="BFBFBF"/>
                  <w:vAlign w:val="center"/>
                </w:tcPr>
                <w:p w14:paraId="042D8CBA">
                  <w:pPr>
                    <w:jc w:val="center"/>
                    <w:rPr>
                      <w:rFonts w:hint="default" w:ascii="Times New Roman" w:hAnsi="Times New Roman" w:cs="Times New Roman"/>
                      <w:b/>
                      <w:bCs/>
                      <w:sz w:val="24"/>
                    </w:rPr>
                  </w:pPr>
                  <w:r>
                    <w:rPr>
                      <w:rFonts w:hint="default" w:ascii="Times New Roman" w:hAnsi="Times New Roman" w:cs="Times New Roman"/>
                      <w:b/>
                      <w:bCs/>
                      <w:sz w:val="24"/>
                    </w:rPr>
                    <w:t>相关地域市场</w:t>
                  </w:r>
                </w:p>
              </w:tc>
              <w:tc>
                <w:tcPr>
                  <w:tcW w:w="2694" w:type="dxa"/>
                  <w:shd w:val="clear" w:color="auto" w:fill="BFBFBF"/>
                  <w:vAlign w:val="center"/>
                </w:tcPr>
                <w:p w14:paraId="7C0BA2FF">
                  <w:pPr>
                    <w:jc w:val="center"/>
                    <w:rPr>
                      <w:rFonts w:hint="default" w:ascii="Times New Roman" w:hAnsi="Times New Roman" w:cs="Times New Roman"/>
                      <w:b/>
                      <w:bCs/>
                      <w:sz w:val="24"/>
                    </w:rPr>
                  </w:pPr>
                  <w:r>
                    <w:rPr>
                      <w:rFonts w:hint="default" w:ascii="Times New Roman" w:hAnsi="Times New Roman" w:cs="Times New Roman"/>
                      <w:b/>
                      <w:bCs/>
                      <w:sz w:val="24"/>
                    </w:rPr>
                    <w:t>2025年市场份额</w:t>
                  </w:r>
                </w:p>
              </w:tc>
            </w:tr>
            <w:tr w14:paraId="1AACA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3009" w:type="dxa"/>
                  <w:vAlign w:val="center"/>
                </w:tcPr>
                <w:p w14:paraId="3440F902">
                  <w:pPr>
                    <w:widowControl/>
                    <w:adjustRightInd w:val="0"/>
                    <w:snapToGrid w:val="0"/>
                    <w:spacing w:after="0" w:line="264" w:lineRule="auto"/>
                    <w:ind w:firstLine="0" w:firstLineChars="0"/>
                    <w:jc w:val="both"/>
                    <w:rPr>
                      <w:rFonts w:hint="default" w:ascii="Times New Roman" w:hAnsi="Times New Roman" w:cs="Times New Roman"/>
                      <w:bCs/>
                      <w:color w:val="000000"/>
                      <w:sz w:val="24"/>
                      <w:lang w:val="en-GB"/>
                    </w:rPr>
                  </w:pPr>
                  <w:r>
                    <w:rPr>
                      <w:rFonts w:hint="default" w:ascii="Times New Roman" w:hAnsi="Times New Roman" w:cs="Times New Roman"/>
                      <w:bCs/>
                      <w:color w:val="000000"/>
                      <w:sz w:val="24"/>
                      <w:lang w:val="en-GB"/>
                    </w:rPr>
                    <w:t>上游：体育场馆运营管理市场</w:t>
                  </w:r>
                </w:p>
                <w:p w14:paraId="4B864E1C">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cs="Times New Roman"/>
                      <w:bCs/>
                      <w:color w:val="000000"/>
                      <w:sz w:val="24"/>
                      <w:lang w:val="en-GB"/>
                    </w:rPr>
                    <w:t>下游：体育赛事运营市场</w:t>
                  </w:r>
                </w:p>
              </w:tc>
              <w:tc>
                <w:tcPr>
                  <w:tcW w:w="1701" w:type="dxa"/>
                  <w:vAlign w:val="center"/>
                </w:tcPr>
                <w:p w14:paraId="619F9DD7">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cs="Times New Roman"/>
                      <w:sz w:val="24"/>
                    </w:rPr>
                    <w:t>上游：中国境内</w:t>
                  </w:r>
                </w:p>
                <w:p w14:paraId="109B6D61">
                  <w:pPr>
                    <w:rPr>
                      <w:rFonts w:hint="default" w:ascii="Times New Roman" w:hAnsi="Times New Roman" w:cs="Times New Roman"/>
                      <w:sz w:val="24"/>
                    </w:rPr>
                  </w:pPr>
                </w:p>
                <w:p w14:paraId="63DDFFD6">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eastAsia="宋体" w:cs="Times New Roman"/>
                      <w:kern w:val="0"/>
                      <w:sz w:val="24"/>
                      <w:szCs w:val="20"/>
                      <w:lang w:val="en-GB" w:eastAsia="zh-CN" w:bidi="ar-SA"/>
                    </w:rPr>
                    <w:t>下游：中国境内</w:t>
                  </w:r>
                </w:p>
              </w:tc>
              <w:tc>
                <w:tcPr>
                  <w:tcW w:w="2694" w:type="dxa"/>
                  <w:vAlign w:val="center"/>
                </w:tcPr>
                <w:p w14:paraId="381A4A59">
                  <w:pPr>
                    <w:widowControl/>
                    <w:adjustRightInd w:val="0"/>
                    <w:snapToGrid w:val="0"/>
                    <w:spacing w:after="0" w:line="264" w:lineRule="auto"/>
                    <w:ind w:firstLine="0" w:firstLineChars="0"/>
                    <w:jc w:val="both"/>
                    <w:rPr>
                      <w:rFonts w:hint="default" w:ascii="Times New Roman" w:hAnsi="Times New Roman" w:eastAsia="宋体" w:cs="Times New Roman"/>
                      <w:kern w:val="0"/>
                      <w:sz w:val="24"/>
                      <w:szCs w:val="20"/>
                      <w:lang w:val="en-GB" w:eastAsia="zh-CN" w:bidi="ar-SA"/>
                    </w:rPr>
                  </w:pPr>
                  <w:r>
                    <w:rPr>
                      <w:rFonts w:hint="default" w:ascii="Times New Roman" w:hAnsi="Times New Roman" w:eastAsia="宋体" w:cs="Times New Roman"/>
                      <w:kern w:val="0"/>
                      <w:sz w:val="24"/>
                      <w:szCs w:val="20"/>
                      <w:lang w:val="en-GB" w:eastAsia="zh-CN" w:bidi="ar-SA"/>
                    </w:rPr>
                    <w:t>上游：中国境内体育场馆运营管理市场</w:t>
                  </w:r>
                </w:p>
                <w:p w14:paraId="5CF498D5">
                  <w:pPr>
                    <w:widowControl/>
                    <w:adjustRightInd w:val="0"/>
                    <w:snapToGrid w:val="0"/>
                    <w:spacing w:after="0" w:line="264" w:lineRule="auto"/>
                    <w:ind w:firstLine="0" w:firstLineChars="0"/>
                    <w:jc w:val="both"/>
                    <w:rPr>
                      <w:rFonts w:hint="default" w:ascii="Times New Roman" w:hAnsi="Times New Roman" w:eastAsia="宋体" w:cs="Times New Roman"/>
                      <w:kern w:val="0"/>
                      <w:sz w:val="24"/>
                      <w:szCs w:val="20"/>
                      <w:lang w:val="en-GB" w:eastAsia="zh-CN" w:bidi="ar-SA"/>
                    </w:rPr>
                  </w:pPr>
                  <w:r>
                    <w:rPr>
                      <w:rFonts w:hint="default" w:ascii="Times New Roman" w:hAnsi="Times New Roman" w:eastAsia="宋体" w:cs="Times New Roman"/>
                      <w:kern w:val="0"/>
                      <w:sz w:val="24"/>
                      <w:szCs w:val="20"/>
                      <w:lang w:val="en-GB" w:eastAsia="zh-CN" w:bidi="ar-SA"/>
                    </w:rPr>
                    <w:t>华润文体：</w:t>
                  </w:r>
                  <w:r>
                    <w:rPr>
                      <w:rFonts w:hint="default" w:ascii="Times New Roman" w:hAnsi="Times New Roman" w:eastAsia="宋体" w:cs="Times New Roman"/>
                      <w:kern w:val="0"/>
                      <w:sz w:val="24"/>
                      <w:szCs w:val="20"/>
                      <w:lang w:val="en-US" w:eastAsia="zh-CN" w:bidi="ar-SA"/>
                    </w:rPr>
                    <w:t>如上所述</w:t>
                  </w:r>
                </w:p>
                <w:p w14:paraId="336A284D">
                  <w:pPr>
                    <w:widowControl/>
                    <w:adjustRightInd w:val="0"/>
                    <w:snapToGrid w:val="0"/>
                    <w:spacing w:after="0" w:line="264" w:lineRule="auto"/>
                    <w:ind w:firstLine="0" w:firstLineChars="0"/>
                    <w:jc w:val="both"/>
                    <w:rPr>
                      <w:rFonts w:hint="default" w:ascii="Times New Roman" w:hAnsi="Times New Roman" w:eastAsia="宋体" w:cs="Times New Roman"/>
                      <w:kern w:val="0"/>
                      <w:sz w:val="24"/>
                      <w:szCs w:val="20"/>
                      <w:lang w:val="en-GB" w:eastAsia="zh-CN" w:bidi="ar-SA"/>
                    </w:rPr>
                  </w:pPr>
                  <w:r>
                    <w:rPr>
                      <w:rFonts w:hint="default" w:ascii="Times New Roman" w:hAnsi="Times New Roman" w:eastAsia="宋体" w:cs="Times New Roman"/>
                      <w:kern w:val="0"/>
                      <w:sz w:val="24"/>
                      <w:szCs w:val="20"/>
                      <w:lang w:val="en-GB" w:eastAsia="zh-CN" w:bidi="ar-SA"/>
                    </w:rPr>
                    <w:t>宜宾合城</w:t>
                  </w:r>
                  <w:r>
                    <w:rPr>
                      <w:rFonts w:hint="default" w:ascii="Times New Roman" w:hAnsi="Times New Roman" w:eastAsia="宋体" w:cs="Times New Roman"/>
                      <w:kern w:val="0"/>
                      <w:sz w:val="24"/>
                      <w:szCs w:val="20"/>
                      <w:lang w:val="en-US" w:eastAsia="zh-CN" w:bidi="ar-SA"/>
                    </w:rPr>
                    <w:t>：</w:t>
                  </w:r>
                  <w:r>
                    <w:rPr>
                      <w:rFonts w:hint="default" w:ascii="Times New Roman" w:hAnsi="Times New Roman" w:eastAsia="宋体" w:cs="Times New Roman"/>
                      <w:kern w:val="0"/>
                      <w:sz w:val="24"/>
                      <w:szCs w:val="20"/>
                      <w:lang w:val="en-GB" w:eastAsia="zh-CN" w:bidi="ar-SA"/>
                    </w:rPr>
                    <w:t>如上所述</w:t>
                  </w:r>
                </w:p>
                <w:p w14:paraId="730D91C3">
                  <w:pPr>
                    <w:widowControl/>
                    <w:adjustRightInd w:val="0"/>
                    <w:snapToGrid w:val="0"/>
                    <w:spacing w:after="0" w:line="264" w:lineRule="auto"/>
                    <w:ind w:firstLine="0" w:firstLineChars="0"/>
                    <w:jc w:val="both"/>
                    <w:rPr>
                      <w:rFonts w:hint="default" w:ascii="Times New Roman" w:hAnsi="Times New Roman" w:eastAsia="宋体" w:cs="Times New Roman"/>
                      <w:kern w:val="0"/>
                      <w:sz w:val="24"/>
                      <w:szCs w:val="20"/>
                      <w:lang w:val="en-GB" w:eastAsia="zh-CN" w:bidi="ar-SA"/>
                    </w:rPr>
                  </w:pPr>
                </w:p>
                <w:p w14:paraId="0B9115AF">
                  <w:pPr>
                    <w:widowControl/>
                    <w:adjustRightInd w:val="0"/>
                    <w:snapToGrid w:val="0"/>
                    <w:spacing w:after="0" w:line="264" w:lineRule="auto"/>
                    <w:ind w:firstLine="0" w:firstLineChars="0"/>
                    <w:jc w:val="both"/>
                    <w:rPr>
                      <w:rFonts w:hint="default" w:ascii="Times New Roman" w:hAnsi="Times New Roman" w:eastAsia="宋体" w:cs="Times New Roman"/>
                      <w:kern w:val="0"/>
                      <w:sz w:val="24"/>
                      <w:szCs w:val="20"/>
                      <w:lang w:val="en-GB" w:eastAsia="zh-CN" w:bidi="ar-SA"/>
                    </w:rPr>
                  </w:pPr>
                  <w:r>
                    <w:rPr>
                      <w:rFonts w:hint="default" w:ascii="Times New Roman" w:hAnsi="Times New Roman" w:eastAsia="宋体" w:cs="Times New Roman"/>
                      <w:kern w:val="0"/>
                      <w:sz w:val="24"/>
                      <w:szCs w:val="20"/>
                      <w:lang w:val="en-GB" w:eastAsia="zh-CN" w:bidi="ar-SA"/>
                    </w:rPr>
                    <w:t>下游：中国境内体育赛事运营市场</w:t>
                  </w:r>
                </w:p>
                <w:p w14:paraId="4EC767C6">
                  <w:pPr>
                    <w:widowControl/>
                    <w:adjustRightInd w:val="0"/>
                    <w:snapToGrid w:val="0"/>
                    <w:spacing w:after="0" w:line="264" w:lineRule="auto"/>
                    <w:ind w:firstLine="0" w:firstLineChars="0"/>
                    <w:jc w:val="both"/>
                    <w:rPr>
                      <w:rFonts w:hint="default" w:ascii="Times New Roman" w:hAnsi="Times New Roman" w:cs="Times New Roman"/>
                      <w:sz w:val="24"/>
                    </w:rPr>
                  </w:pPr>
                  <w:r>
                    <w:rPr>
                      <w:rFonts w:hint="default" w:ascii="Times New Roman" w:hAnsi="Times New Roman" w:eastAsia="宋体" w:cs="Times New Roman"/>
                      <w:kern w:val="0"/>
                      <w:sz w:val="24"/>
                      <w:szCs w:val="20"/>
                      <w:lang w:val="en-GB" w:eastAsia="zh-CN" w:bidi="ar-SA"/>
                    </w:rPr>
                    <w:t>华润文体：0-5%</w:t>
                  </w:r>
                </w:p>
              </w:tc>
            </w:tr>
          </w:tbl>
          <w:p w14:paraId="712B6DB4">
            <w:pPr>
              <w:widowControl/>
              <w:adjustRightInd w:val="0"/>
              <w:snapToGrid w:val="0"/>
              <w:spacing w:after="0" w:line="264" w:lineRule="auto"/>
              <w:jc w:val="both"/>
              <w:rPr>
                <w:rFonts w:hint="default" w:ascii="Times New Roman" w:hAnsi="Times New Roman" w:eastAsia="宋体" w:cs="Times New Roman"/>
                <w:b/>
                <w:color w:val="000000"/>
                <w:kern w:val="0"/>
                <w:sz w:val="24"/>
                <w:szCs w:val="24"/>
                <w:lang w:val="en-US" w:eastAsia="zh-CN" w:bidi="ar-SA"/>
              </w:rPr>
            </w:pPr>
          </w:p>
        </w:tc>
      </w:tr>
    </w:tbl>
    <w:p w14:paraId="2CF2ACB5">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G Times">
    <w:altName w:val="Times New Roman"/>
    <w:panose1 w:val="00000000000000000000"/>
    <w:charset w:val="00"/>
    <w:family w:val="roman"/>
    <w:pitch w:val="default"/>
    <w:sig w:usb0="00000000" w:usb1="00000000" w:usb2="00000000" w:usb3="00000000" w:csb0="00040001"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17704F92"/>
    <w:rsid w:val="000036C7"/>
    <w:rsid w:val="00026E6A"/>
    <w:rsid w:val="00031138"/>
    <w:rsid w:val="0006228B"/>
    <w:rsid w:val="000630AC"/>
    <w:rsid w:val="000946D7"/>
    <w:rsid w:val="000B73AD"/>
    <w:rsid w:val="000C34E1"/>
    <w:rsid w:val="000E2D89"/>
    <w:rsid w:val="000E3289"/>
    <w:rsid w:val="000E34F0"/>
    <w:rsid w:val="000E43D6"/>
    <w:rsid w:val="000F4136"/>
    <w:rsid w:val="000F4FB1"/>
    <w:rsid w:val="00107CA0"/>
    <w:rsid w:val="00117245"/>
    <w:rsid w:val="00131626"/>
    <w:rsid w:val="00135904"/>
    <w:rsid w:val="00152B75"/>
    <w:rsid w:val="00194756"/>
    <w:rsid w:val="00196F95"/>
    <w:rsid w:val="001A4661"/>
    <w:rsid w:val="001A641C"/>
    <w:rsid w:val="001A7828"/>
    <w:rsid w:val="001B2564"/>
    <w:rsid w:val="001B38C5"/>
    <w:rsid w:val="001B3C27"/>
    <w:rsid w:val="001B72EA"/>
    <w:rsid w:val="001C014D"/>
    <w:rsid w:val="001E0C21"/>
    <w:rsid w:val="001E1708"/>
    <w:rsid w:val="001E22C8"/>
    <w:rsid w:val="001F3359"/>
    <w:rsid w:val="001F593B"/>
    <w:rsid w:val="00206231"/>
    <w:rsid w:val="002148B5"/>
    <w:rsid w:val="00263858"/>
    <w:rsid w:val="002754C4"/>
    <w:rsid w:val="002863B5"/>
    <w:rsid w:val="002B78FC"/>
    <w:rsid w:val="002F0832"/>
    <w:rsid w:val="003248BC"/>
    <w:rsid w:val="003E524B"/>
    <w:rsid w:val="003F6276"/>
    <w:rsid w:val="00402F5D"/>
    <w:rsid w:val="00433839"/>
    <w:rsid w:val="00434DFA"/>
    <w:rsid w:val="00457388"/>
    <w:rsid w:val="00460FC4"/>
    <w:rsid w:val="0046329B"/>
    <w:rsid w:val="00476768"/>
    <w:rsid w:val="00483306"/>
    <w:rsid w:val="00486568"/>
    <w:rsid w:val="00496DAB"/>
    <w:rsid w:val="004B4D15"/>
    <w:rsid w:val="004E5BAE"/>
    <w:rsid w:val="004F226A"/>
    <w:rsid w:val="004F2D8C"/>
    <w:rsid w:val="00532DD7"/>
    <w:rsid w:val="00533D7E"/>
    <w:rsid w:val="0057746E"/>
    <w:rsid w:val="00583A4E"/>
    <w:rsid w:val="00594EE4"/>
    <w:rsid w:val="005A0FA7"/>
    <w:rsid w:val="005B0B80"/>
    <w:rsid w:val="005D50F7"/>
    <w:rsid w:val="005D58E7"/>
    <w:rsid w:val="005E3805"/>
    <w:rsid w:val="005E4519"/>
    <w:rsid w:val="005F1C25"/>
    <w:rsid w:val="00616946"/>
    <w:rsid w:val="00622B07"/>
    <w:rsid w:val="0062610F"/>
    <w:rsid w:val="00630580"/>
    <w:rsid w:val="00634898"/>
    <w:rsid w:val="00645DEB"/>
    <w:rsid w:val="00666E5D"/>
    <w:rsid w:val="006A2E12"/>
    <w:rsid w:val="006A4B59"/>
    <w:rsid w:val="006D1B26"/>
    <w:rsid w:val="0073666B"/>
    <w:rsid w:val="00736FF6"/>
    <w:rsid w:val="007438AC"/>
    <w:rsid w:val="00744976"/>
    <w:rsid w:val="007A5C5B"/>
    <w:rsid w:val="007B689F"/>
    <w:rsid w:val="007C7074"/>
    <w:rsid w:val="007D7C2B"/>
    <w:rsid w:val="007E1B3A"/>
    <w:rsid w:val="007E7B07"/>
    <w:rsid w:val="00816987"/>
    <w:rsid w:val="008279B2"/>
    <w:rsid w:val="00841CAE"/>
    <w:rsid w:val="008508B3"/>
    <w:rsid w:val="0085182B"/>
    <w:rsid w:val="00855132"/>
    <w:rsid w:val="008555A8"/>
    <w:rsid w:val="008576AA"/>
    <w:rsid w:val="008760CD"/>
    <w:rsid w:val="00882542"/>
    <w:rsid w:val="008A3684"/>
    <w:rsid w:val="008A78DA"/>
    <w:rsid w:val="008C64A7"/>
    <w:rsid w:val="008F6307"/>
    <w:rsid w:val="009050AD"/>
    <w:rsid w:val="0095195F"/>
    <w:rsid w:val="00991926"/>
    <w:rsid w:val="00991D4F"/>
    <w:rsid w:val="00995CAC"/>
    <w:rsid w:val="009B707E"/>
    <w:rsid w:val="009D3A0F"/>
    <w:rsid w:val="00A03D8F"/>
    <w:rsid w:val="00A10AF5"/>
    <w:rsid w:val="00A17A2C"/>
    <w:rsid w:val="00A27CAE"/>
    <w:rsid w:val="00A52930"/>
    <w:rsid w:val="00A67105"/>
    <w:rsid w:val="00A81655"/>
    <w:rsid w:val="00A85CF5"/>
    <w:rsid w:val="00AA0568"/>
    <w:rsid w:val="00B13E75"/>
    <w:rsid w:val="00B400DF"/>
    <w:rsid w:val="00B66F74"/>
    <w:rsid w:val="00B738B0"/>
    <w:rsid w:val="00B96C32"/>
    <w:rsid w:val="00BB5EAB"/>
    <w:rsid w:val="00BD0033"/>
    <w:rsid w:val="00BF19C4"/>
    <w:rsid w:val="00BF7AB4"/>
    <w:rsid w:val="00C15B40"/>
    <w:rsid w:val="00C41247"/>
    <w:rsid w:val="00C53102"/>
    <w:rsid w:val="00C708C9"/>
    <w:rsid w:val="00C947B8"/>
    <w:rsid w:val="00CA04EC"/>
    <w:rsid w:val="00CA0EDB"/>
    <w:rsid w:val="00CB482C"/>
    <w:rsid w:val="00CB5467"/>
    <w:rsid w:val="00CE4CF1"/>
    <w:rsid w:val="00CF6654"/>
    <w:rsid w:val="00D02FE3"/>
    <w:rsid w:val="00D078E1"/>
    <w:rsid w:val="00D401F7"/>
    <w:rsid w:val="00D5136B"/>
    <w:rsid w:val="00D7351D"/>
    <w:rsid w:val="00D82B9E"/>
    <w:rsid w:val="00D94578"/>
    <w:rsid w:val="00DB7F9D"/>
    <w:rsid w:val="00DC706D"/>
    <w:rsid w:val="00DD4B99"/>
    <w:rsid w:val="00DD6B67"/>
    <w:rsid w:val="00DE6E96"/>
    <w:rsid w:val="00DF020B"/>
    <w:rsid w:val="00E136A1"/>
    <w:rsid w:val="00E14D21"/>
    <w:rsid w:val="00E1589A"/>
    <w:rsid w:val="00E20BE6"/>
    <w:rsid w:val="00E225B5"/>
    <w:rsid w:val="00E31474"/>
    <w:rsid w:val="00E57C88"/>
    <w:rsid w:val="00E879BC"/>
    <w:rsid w:val="00E971AC"/>
    <w:rsid w:val="00E9768D"/>
    <w:rsid w:val="00EA14F1"/>
    <w:rsid w:val="00ED27D8"/>
    <w:rsid w:val="00EF100D"/>
    <w:rsid w:val="00EF5CD0"/>
    <w:rsid w:val="00F0629A"/>
    <w:rsid w:val="00F22EB3"/>
    <w:rsid w:val="00F5593F"/>
    <w:rsid w:val="00F563C5"/>
    <w:rsid w:val="00F60396"/>
    <w:rsid w:val="00F746D6"/>
    <w:rsid w:val="00F8087E"/>
    <w:rsid w:val="00FA6C19"/>
    <w:rsid w:val="00FC2FC1"/>
    <w:rsid w:val="00FC6D2C"/>
    <w:rsid w:val="00FD467A"/>
    <w:rsid w:val="00FD4A0F"/>
    <w:rsid w:val="00FF381C"/>
    <w:rsid w:val="17704F92"/>
    <w:rsid w:val="22F348E3"/>
    <w:rsid w:val="27AB665D"/>
    <w:rsid w:val="4E73335E"/>
    <w:rsid w:val="701D7E2F"/>
    <w:rsid w:val="79277D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link w:val="12"/>
    <w:qFormat/>
    <w:uiPriority w:val="0"/>
    <w:pPr>
      <w:widowControl/>
      <w:spacing w:after="240" w:line="288" w:lineRule="auto"/>
    </w:pPr>
    <w:rPr>
      <w:rFonts w:ascii="CG Times" w:hAnsi="CG Times"/>
      <w:kern w:val="0"/>
      <w:sz w:val="22"/>
      <w:szCs w:val="20"/>
      <w:lang w:eastAsia="en-US"/>
    </w:rPr>
  </w:style>
  <w:style w:type="paragraph" w:styleId="4">
    <w:name w:val="annotation text"/>
    <w:basedOn w:val="1"/>
    <w:link w:val="16"/>
    <w:qFormat/>
    <w:uiPriority w:val="0"/>
    <w:pPr>
      <w:jc w:val="left"/>
    </w:p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4"/>
    <w:next w:val="4"/>
    <w:link w:val="17"/>
    <w:qFormat/>
    <w:uiPriority w:val="0"/>
    <w:rPr>
      <w:b/>
      <w:bCs/>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annotation reference"/>
    <w:basedOn w:val="10"/>
    <w:qFormat/>
    <w:uiPriority w:val="0"/>
    <w:rPr>
      <w:sz w:val="21"/>
      <w:szCs w:val="21"/>
    </w:rPr>
  </w:style>
  <w:style w:type="character" w:customStyle="1" w:styleId="12">
    <w:name w:val="正文文本 字符"/>
    <w:link w:val="3"/>
    <w:qFormat/>
    <w:uiPriority w:val="0"/>
    <w:rPr>
      <w:rFonts w:ascii="CG Times" w:hAnsi="CG Times"/>
      <w:sz w:val="22"/>
      <w:lang w:eastAsia="en-US"/>
    </w:rPr>
  </w:style>
  <w:style w:type="character" w:customStyle="1" w:styleId="13">
    <w:name w:val="页眉 字符"/>
    <w:link w:val="6"/>
    <w:qFormat/>
    <w:uiPriority w:val="0"/>
    <w:rPr>
      <w:rFonts w:ascii="Times New Roman" w:hAnsi="Times New Roman"/>
      <w:kern w:val="2"/>
      <w:sz w:val="18"/>
      <w:szCs w:val="18"/>
    </w:rPr>
  </w:style>
  <w:style w:type="character" w:customStyle="1" w:styleId="14">
    <w:name w:val="页脚 字符"/>
    <w:link w:val="5"/>
    <w:qFormat/>
    <w:uiPriority w:val="0"/>
    <w:rPr>
      <w:rFonts w:ascii="Times New Roman" w:hAnsi="Times New Roman"/>
      <w:kern w:val="2"/>
      <w:sz w:val="18"/>
      <w:szCs w:val="18"/>
    </w:rPr>
  </w:style>
  <w:style w:type="paragraph" w:customStyle="1" w:styleId="15">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6">
    <w:name w:val="批注文字 字符"/>
    <w:basedOn w:val="10"/>
    <w:link w:val="4"/>
    <w:qFormat/>
    <w:uiPriority w:val="0"/>
    <w:rPr>
      <w:rFonts w:ascii="Times New Roman" w:hAnsi="Times New Roman"/>
      <w:kern w:val="2"/>
      <w:sz w:val="21"/>
      <w:szCs w:val="24"/>
    </w:rPr>
  </w:style>
  <w:style w:type="character" w:customStyle="1" w:styleId="17">
    <w:name w:val="批注主题 字符"/>
    <w:basedOn w:val="16"/>
    <w:link w:val="7"/>
    <w:qFormat/>
    <w:uiPriority w:val="0"/>
    <w:rPr>
      <w:rFonts w:ascii="Times New Roman" w:hAnsi="Times New Roman"/>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4.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cd93175b5e2e30f3ba5d5d22101a8dae">
  <xsd:schema xmlns:xsd="http://www.w3.org/2001/XMLSchema" xmlns:xs="http://www.w3.org/2001/XMLSchema" xmlns:p="http://schemas.microsoft.com/office/2006/metadata/properties" xmlns:ns2="d0400def-d59b-43ac-9ce1-d8ee2e82e940" targetNamespace="http://schemas.microsoft.com/office/2006/metadata/properties" ma:root="true" ma:fieldsID="d116d143cce9d65f7ebb710e04601f84"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CA293-5E33-4758-A265-C6EBF72F97CB}">
  <ds:schemaRefs/>
</ds:datastoreItem>
</file>

<file path=customXml/itemProps2.xml><?xml version="1.0" encoding="utf-8"?>
<ds:datastoreItem xmlns:ds="http://schemas.openxmlformats.org/officeDocument/2006/customXml" ds:itemID="{E18F79C5-6A29-47AA-A669-A8B7D7E1546F}">
  <ds:schemaRefs/>
</ds:datastoreItem>
</file>

<file path=customXml/itemProps3.xml><?xml version="1.0" encoding="utf-8"?>
<ds:datastoreItem xmlns:ds="http://schemas.openxmlformats.org/officeDocument/2006/customXml" ds:itemID="{6EFDA086-F547-4F9A-BB1E-F5CCC4E59373}">
  <ds:schemaRefs/>
</ds:datastoreItem>
</file>

<file path=customXml/itemProps4.xml><?xml version="1.0" encoding="utf-8"?>
<ds:datastoreItem xmlns:ds="http://schemas.openxmlformats.org/officeDocument/2006/customXml" ds:itemID="{2BA236B5-5E7F-42F9-856F-82C9DBB612BC}">
  <ds:schemaRefs/>
</ds:datastoreItem>
</file>

<file path=docProps/app.xml><?xml version="1.0" encoding="utf-8"?>
<Properties xmlns="http://schemas.openxmlformats.org/officeDocument/2006/extended-properties" xmlns:vt="http://schemas.openxmlformats.org/officeDocument/2006/docPropsVTypes">
  <Template>Normal</Template>
  <Pages>2</Pages>
  <Words>850</Words>
  <Characters>894</Characters>
  <Lines>7</Lines>
  <Paragraphs>2</Paragraphs>
  <TotalTime>0</TotalTime>
  <ScaleCrop>false</ScaleCrop>
  <LinksUpToDate>false</LinksUpToDate>
  <CharactersWithSpaces>898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2024-11-29T09:26:00Z</dcterms:created>
  <dc:creator>/ZL</dc:creator>
  <cp:lastModifiedBy>汗青</cp:lastModifiedBy>
  <dcterms:modified xsi:type="dcterms:W3CDTF">2026-06-03T06:22:06Z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401295FA1B0A4B8093173A919C0DA85C_13</vt:lpwstr>
  </property>
  <property fmtid="{D5CDD505-2E9C-101B-9397-08002B2CF9AE}" pid="4" name="ContentTypeId">
    <vt:lpwstr>0x01010026A2BEFD371A2D43AF26B316195BAA8F</vt:lpwstr>
  </property>
  <property fmtid="{D5CDD505-2E9C-101B-9397-08002B2CF9AE}" pid="5" name="KSOTemplateDocerSaveRecord">
    <vt:lpwstr>eyJoZGlkIjoiNDQzMGY5ZWI0OWM3ZDY2ZDVhMWJmNzNkNjA0OTkyOWYiLCJ1c2VySWQiOiIzNzgxNDI0MDcifQ==</vt:lpwstr>
  </property>
</Properties>
</file>