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exact"/>
        <w:rPr>
          <w:rFonts w:ascii="仿宋_GB2312" w:hAnsi="Times New Roman" w:eastAsia="仿宋_GB2312" w:cs="Times New Roman"/>
          <w:sz w:val="28"/>
          <w:szCs w:val="28"/>
        </w:rPr>
      </w:pPr>
    </w:p>
    <w:p>
      <w:pPr>
        <w:spacing w:line="440" w:lineRule="exact"/>
        <w:jc w:val="center"/>
        <w:rPr>
          <w:rFonts w:ascii="黑体" w:hAnsi="Times New Roman" w:eastAsia="黑体" w:cs="Times New Roman"/>
          <w:sz w:val="30"/>
          <w:szCs w:val="30"/>
        </w:rPr>
      </w:pPr>
      <w:r>
        <w:rPr>
          <w:rFonts w:hint="eastAsia" w:ascii="黑体" w:hAnsi="Times New Roman" w:eastAsia="黑体" w:cs="Times New Roman"/>
          <w:sz w:val="30"/>
          <w:szCs w:val="30"/>
        </w:rPr>
        <w:t>经营者集中简易案件公示表</w:t>
      </w:r>
    </w:p>
    <w:p>
      <w:pPr>
        <w:spacing w:line="440" w:lineRule="exact"/>
        <w:rPr>
          <w:rFonts w:ascii="仿宋_GB2312" w:hAnsi="Times New Roman" w:eastAsia="仿宋_GB2312" w:cs="Times New Roman"/>
          <w:sz w:val="28"/>
          <w:szCs w:val="28"/>
        </w:rPr>
      </w:pPr>
    </w:p>
    <w:tbl>
      <w:tblPr>
        <w:tblStyle w:val="10"/>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8D8D8" w:themeFill="background1" w:themeFillShade="D9"/>
          </w:tcPr>
          <w:p>
            <w:pPr>
              <w:widowControl/>
              <w:snapToGrid w:val="0"/>
              <w:spacing w:beforeLines="50" w:afterLines="50" w:line="400" w:lineRule="exact"/>
              <w:jc w:val="left"/>
              <w:rPr>
                <w:rFonts w:ascii="Times New Roman" w:hAnsi="宋体" w:eastAsia="宋体" w:cs="Times New Roman"/>
                <w:sz w:val="24"/>
                <w:szCs w:val="24"/>
              </w:rPr>
            </w:pPr>
            <w:r>
              <w:rPr>
                <w:rFonts w:ascii="Times New Roman" w:hAnsi="宋体" w:eastAsia="宋体" w:cs="Times New Roman"/>
                <w:sz w:val="24"/>
                <w:szCs w:val="24"/>
              </w:rPr>
              <w:t>案件名称</w:t>
            </w:r>
          </w:p>
        </w:tc>
        <w:tc>
          <w:tcPr>
            <w:tcW w:w="6949" w:type="dxa"/>
            <w:gridSpan w:val="2"/>
          </w:tcPr>
          <w:p>
            <w:pPr>
              <w:widowControl/>
              <w:snapToGrid w:val="0"/>
              <w:spacing w:beforeLines="50" w:afterLines="50" w:line="400" w:lineRule="exact"/>
              <w:jc w:val="left"/>
              <w:rPr>
                <w:rFonts w:ascii="Times New Roman" w:hAnsi="宋体" w:eastAsia="宋体" w:cs="Times New Roman"/>
                <w:sz w:val="24"/>
                <w:szCs w:val="24"/>
              </w:rPr>
            </w:pPr>
            <w:r>
              <w:rPr>
                <w:rFonts w:hint="eastAsia" w:ascii="Times New Roman" w:hAnsi="宋体" w:eastAsia="宋体" w:cs="Times New Roman"/>
                <w:sz w:val="24"/>
                <w:szCs w:val="24"/>
                <w:lang w:val="en-AU"/>
              </w:rPr>
              <w:t>上海临港普洛斯国际物流发展有限公司与</w:t>
            </w:r>
            <w:r>
              <w:rPr>
                <w:rFonts w:hint="eastAsia" w:ascii="Times New Roman" w:hAnsi="宋体" w:eastAsia="宋体" w:cs="Times New Roman"/>
                <w:sz w:val="24"/>
                <w:szCs w:val="24"/>
              </w:rPr>
              <w:t>上海怡港投资有限公司新设合营企业上海普捷通物流信息技术有限公司案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8D8D8" w:themeFill="background1" w:themeFillShade="D9"/>
          </w:tcPr>
          <w:p>
            <w:pPr>
              <w:widowControl/>
              <w:snapToGrid w:val="0"/>
              <w:spacing w:beforeLines="50" w:afterLines="50" w:line="400" w:lineRule="exact"/>
              <w:jc w:val="left"/>
              <w:rPr>
                <w:rFonts w:ascii="Times New Roman" w:hAnsi="宋体" w:eastAsia="宋体" w:cs="Times New Roman"/>
                <w:sz w:val="24"/>
                <w:szCs w:val="24"/>
              </w:rPr>
            </w:pPr>
            <w:r>
              <w:rPr>
                <w:rFonts w:ascii="Times New Roman" w:hAnsi="宋体" w:eastAsia="宋体" w:cs="Times New Roman"/>
                <w:sz w:val="24"/>
                <w:szCs w:val="24"/>
              </w:rPr>
              <w:t>交易概况（限200字内）</w:t>
            </w:r>
          </w:p>
        </w:tc>
        <w:tc>
          <w:tcPr>
            <w:tcW w:w="6949" w:type="dxa"/>
            <w:gridSpan w:val="2"/>
          </w:tcPr>
          <w:p>
            <w:pPr>
              <w:widowControl/>
              <w:snapToGrid w:val="0"/>
              <w:spacing w:beforeLines="50" w:afterLines="50" w:line="400" w:lineRule="exact"/>
              <w:jc w:val="left"/>
              <w:rPr>
                <w:rFonts w:ascii="Times New Roman" w:hAnsi="宋体" w:eastAsia="宋体" w:cs="Times New Roman"/>
                <w:sz w:val="24"/>
                <w:szCs w:val="24"/>
              </w:rPr>
            </w:pPr>
            <w:r>
              <w:rPr>
                <w:rFonts w:hint="eastAsia" w:ascii="Times New Roman" w:hAnsi="宋体" w:eastAsia="宋体" w:cs="Times New Roman"/>
                <w:sz w:val="24"/>
                <w:szCs w:val="24"/>
                <w:lang w:val="en-AU"/>
              </w:rPr>
              <w:t>上海临港普洛斯国际物流发展有限公司（“临港普洛斯”）拟与</w:t>
            </w:r>
            <w:r>
              <w:rPr>
                <w:rFonts w:hint="eastAsia" w:ascii="Times New Roman" w:hAnsi="宋体" w:eastAsia="宋体" w:cs="Times New Roman"/>
                <w:sz w:val="24"/>
                <w:szCs w:val="24"/>
              </w:rPr>
              <w:t>上海怡港投资有限公司（“怡港投资公司”）在上海合资设立上海普捷通物流信息技术有限公司（“合营公司”），并在合营公司设立后</w:t>
            </w:r>
            <w:r>
              <w:rPr>
                <w:rFonts w:hint="eastAsia" w:ascii="Times New Roman" w:hAnsi="Times New Roman" w:eastAsia="宋体" w:cs="Times New Roman"/>
                <w:sz w:val="24"/>
                <w:szCs w:val="24"/>
              </w:rPr>
              <w:t>分别持有</w:t>
            </w:r>
            <w:r>
              <w:rPr>
                <w:rFonts w:hint="eastAsia" w:ascii="Times New Roman" w:hAnsi="宋体" w:eastAsia="宋体" w:cs="Times New Roman"/>
                <w:sz w:val="24"/>
                <w:szCs w:val="24"/>
              </w:rPr>
              <w:t>合营公司</w:t>
            </w:r>
            <w:r>
              <w:rPr>
                <w:rFonts w:hint="eastAsia" w:ascii="Times New Roman" w:hAnsi="Times New Roman" w:eastAsia="宋体" w:cs="Times New Roman"/>
                <w:sz w:val="24"/>
                <w:szCs w:val="24"/>
              </w:rPr>
              <w:t>50%的股权</w:t>
            </w:r>
            <w:r>
              <w:rPr>
                <w:rFonts w:ascii="Times New Roman" w:hAnsi="Times New Roman"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8D8D8" w:themeFill="background1" w:themeFillShade="D9"/>
          </w:tcPr>
          <w:p>
            <w:pPr>
              <w:spacing w:line="500" w:lineRule="exact"/>
              <w:rPr>
                <w:rFonts w:ascii="Times New Roman" w:hAnsi="Times New Roman" w:eastAsia="宋体" w:cs="Times New Roman"/>
                <w:sz w:val="24"/>
                <w:szCs w:val="24"/>
              </w:rPr>
            </w:pPr>
            <w:r>
              <w:rPr>
                <w:rFonts w:ascii="Times New Roman" w:hAnsi="宋体" w:eastAsia="宋体" w:cs="Times New Roman"/>
                <w:sz w:val="24"/>
                <w:szCs w:val="24"/>
              </w:rPr>
              <w:t>参与集中的经营者简介</w:t>
            </w:r>
          </w:p>
        </w:tc>
        <w:tc>
          <w:tcPr>
            <w:tcW w:w="1796" w:type="dxa"/>
          </w:tcPr>
          <w:p>
            <w:pPr>
              <w:spacing w:beforeLines="50" w:afterLines="50" w:line="400" w:lineRule="exact"/>
              <w:rPr>
                <w:rFonts w:ascii="Times New Roman" w:hAnsi="Times New Roman" w:eastAsia="宋体" w:cs="Times New Roman"/>
                <w:sz w:val="24"/>
                <w:szCs w:val="24"/>
              </w:rPr>
            </w:pPr>
            <w:r>
              <w:rPr>
                <w:rFonts w:hint="eastAsia" w:ascii="Times New Roman" w:hAnsi="宋体" w:eastAsia="宋体" w:cs="Times New Roman"/>
                <w:sz w:val="24"/>
                <w:szCs w:val="24"/>
                <w:lang w:val="en-AU"/>
              </w:rPr>
              <w:t>临港普洛斯</w:t>
            </w:r>
          </w:p>
        </w:tc>
        <w:tc>
          <w:tcPr>
            <w:tcW w:w="5153" w:type="dxa"/>
          </w:tcPr>
          <w:p>
            <w:pPr>
              <w:spacing w:beforeLines="50" w:afterLines="50" w:line="400" w:lineRule="exact"/>
              <w:rPr>
                <w:rFonts w:ascii="Times New Roman" w:hAnsi="宋体" w:eastAsia="宋体" w:cs="Times New Roman"/>
                <w:sz w:val="24"/>
                <w:szCs w:val="24"/>
              </w:rPr>
            </w:pPr>
            <w:bookmarkStart w:id="0" w:name="_Toc356809686"/>
            <w:r>
              <w:rPr>
                <w:rFonts w:hint="eastAsia" w:ascii="Times New Roman" w:hAnsi="宋体" w:eastAsia="宋体" w:cs="Times New Roman"/>
                <w:sz w:val="24"/>
                <w:szCs w:val="24"/>
                <w:lang w:val="en-AU"/>
              </w:rPr>
              <w:t>临港普洛斯</w:t>
            </w:r>
            <w:r>
              <w:rPr>
                <w:rFonts w:hint="eastAsia" w:ascii="Times New Roman" w:hAnsi="宋体" w:eastAsia="宋体" w:cs="Times New Roman"/>
                <w:sz w:val="24"/>
                <w:szCs w:val="24"/>
              </w:rPr>
              <w:t>是</w:t>
            </w:r>
            <w:r>
              <w:rPr>
                <w:rFonts w:ascii="Times New Roman" w:hAnsi="宋体" w:eastAsia="宋体" w:cs="Times New Roman"/>
                <w:sz w:val="24"/>
                <w:szCs w:val="24"/>
              </w:rPr>
              <w:t>一家依据</w:t>
            </w:r>
            <w:r>
              <w:rPr>
                <w:rFonts w:hint="eastAsia" w:ascii="Times New Roman" w:hAnsi="宋体" w:eastAsia="宋体" w:cs="Times New Roman"/>
                <w:sz w:val="24"/>
                <w:szCs w:val="24"/>
              </w:rPr>
              <w:t>中国</w:t>
            </w:r>
            <w:r>
              <w:rPr>
                <w:rFonts w:ascii="Times New Roman" w:hAnsi="宋体" w:eastAsia="宋体" w:cs="Times New Roman"/>
                <w:sz w:val="24"/>
                <w:szCs w:val="24"/>
              </w:rPr>
              <w:t>法律于</w:t>
            </w:r>
            <w:r>
              <w:rPr>
                <w:rFonts w:ascii="Times New Roman" w:hAnsi="Times New Roman" w:eastAsia="宋体" w:cs="Times New Roman"/>
                <w:sz w:val="24"/>
                <w:szCs w:val="24"/>
              </w:rPr>
              <w:t>20</w:t>
            </w:r>
            <w:r>
              <w:rPr>
                <w:rFonts w:hint="eastAsia" w:ascii="Times New Roman" w:hAnsi="Times New Roman" w:eastAsia="宋体" w:cs="Times New Roman"/>
                <w:sz w:val="24"/>
                <w:szCs w:val="24"/>
              </w:rPr>
              <w:t>05</w:t>
            </w:r>
            <w:r>
              <w:rPr>
                <w:rFonts w:ascii="Times New Roman" w:hAnsi="宋体" w:eastAsia="宋体" w:cs="Times New Roman"/>
                <w:sz w:val="24"/>
                <w:szCs w:val="24"/>
              </w:rPr>
              <w:t>年</w:t>
            </w:r>
            <w:r>
              <w:rPr>
                <w:rFonts w:hint="eastAsia" w:ascii="Times New Roman" w:hAnsi="Times New Roman" w:eastAsia="宋体" w:cs="Times New Roman"/>
                <w:sz w:val="24"/>
                <w:szCs w:val="24"/>
              </w:rPr>
              <w:t>1</w:t>
            </w:r>
            <w:r>
              <w:rPr>
                <w:rFonts w:ascii="Times New Roman" w:hAnsi="宋体" w:eastAsia="宋体" w:cs="Times New Roman"/>
                <w:sz w:val="24"/>
                <w:szCs w:val="24"/>
              </w:rPr>
              <w:t>月</w:t>
            </w:r>
            <w:r>
              <w:rPr>
                <w:rFonts w:hint="eastAsia" w:ascii="Times New Roman" w:hAnsi="Times New Roman" w:eastAsia="宋体" w:cs="Times New Roman"/>
                <w:sz w:val="24"/>
                <w:szCs w:val="24"/>
              </w:rPr>
              <w:t>21</w:t>
            </w:r>
            <w:r>
              <w:rPr>
                <w:rFonts w:ascii="Times New Roman" w:hAnsi="宋体" w:eastAsia="宋体" w:cs="Times New Roman"/>
                <w:sz w:val="24"/>
                <w:szCs w:val="24"/>
              </w:rPr>
              <w:t>日在</w:t>
            </w:r>
            <w:r>
              <w:rPr>
                <w:rFonts w:hint="eastAsia" w:ascii="Times New Roman" w:hAnsi="宋体" w:eastAsia="宋体" w:cs="Times New Roman"/>
                <w:sz w:val="24"/>
                <w:szCs w:val="24"/>
              </w:rPr>
              <w:t>上海</w:t>
            </w:r>
            <w:r>
              <w:rPr>
                <w:rFonts w:ascii="Times New Roman" w:hAnsi="宋体" w:eastAsia="宋体" w:cs="Times New Roman"/>
                <w:sz w:val="24"/>
                <w:szCs w:val="24"/>
              </w:rPr>
              <w:t>注册成立的</w:t>
            </w:r>
            <w:r>
              <w:rPr>
                <w:rFonts w:hint="eastAsia" w:ascii="Times New Roman" w:hAnsi="宋体" w:eastAsia="宋体" w:cs="Times New Roman"/>
                <w:sz w:val="24"/>
                <w:szCs w:val="24"/>
              </w:rPr>
              <w:t>中外合资经营企业</w:t>
            </w:r>
            <w:r>
              <w:rPr>
                <w:rFonts w:ascii="Times New Roman" w:hAnsi="宋体" w:eastAsia="宋体" w:cs="Times New Roman"/>
                <w:sz w:val="24"/>
                <w:szCs w:val="24"/>
              </w:rPr>
              <w:t>。</w:t>
            </w:r>
            <w:r>
              <w:rPr>
                <w:rFonts w:hint="eastAsia" w:ascii="Times New Roman" w:hAnsi="宋体" w:eastAsia="宋体" w:cs="Times New Roman"/>
                <w:sz w:val="24"/>
                <w:szCs w:val="24"/>
                <w:lang w:val="en-AU"/>
              </w:rPr>
              <w:t>临港普洛斯</w:t>
            </w:r>
            <w:r>
              <w:rPr>
                <w:rFonts w:hint="eastAsia" w:ascii="Times New Roman" w:hAnsi="宋体" w:eastAsia="宋体" w:cs="Times New Roman"/>
                <w:sz w:val="24"/>
                <w:szCs w:val="24"/>
              </w:rPr>
              <w:t>在中国境内主要从事仓储设施及相关工业设施的建设、经营和管理，并提供相关咨询服务。</w:t>
            </w:r>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42" w:hRule="atLeast"/>
        </w:trPr>
        <w:tc>
          <w:tcPr>
            <w:tcW w:w="1809" w:type="dxa"/>
            <w:vMerge w:val="continue"/>
            <w:shd w:val="clear" w:color="auto" w:fill="D8D8D8" w:themeFill="background1" w:themeFillShade="D9"/>
          </w:tcPr>
          <w:p>
            <w:pPr>
              <w:spacing w:line="500" w:lineRule="exact"/>
              <w:rPr>
                <w:rFonts w:ascii="Times New Roman" w:hAnsi="Times New Roman" w:eastAsia="宋体" w:cs="Times New Roman"/>
                <w:sz w:val="24"/>
                <w:szCs w:val="24"/>
              </w:rPr>
            </w:pPr>
          </w:p>
        </w:tc>
        <w:tc>
          <w:tcPr>
            <w:tcW w:w="1796" w:type="dxa"/>
          </w:tcPr>
          <w:p>
            <w:pPr>
              <w:spacing w:beforeLines="50" w:afterLines="50" w:line="400" w:lineRule="exact"/>
              <w:rPr>
                <w:rFonts w:ascii="Times New Roman" w:hAnsi="Times New Roman" w:eastAsia="宋体" w:cs="Times New Roman"/>
                <w:sz w:val="24"/>
                <w:szCs w:val="24"/>
              </w:rPr>
            </w:pPr>
            <w:r>
              <w:rPr>
                <w:rFonts w:hint="eastAsia" w:ascii="Times New Roman" w:hAnsi="宋体" w:eastAsia="宋体" w:cs="Times New Roman"/>
                <w:sz w:val="24"/>
                <w:szCs w:val="24"/>
              </w:rPr>
              <w:t>怡港投资公司</w:t>
            </w:r>
          </w:p>
        </w:tc>
        <w:tc>
          <w:tcPr>
            <w:tcW w:w="5153" w:type="dxa"/>
          </w:tcPr>
          <w:p>
            <w:pPr>
              <w:spacing w:beforeLines="50" w:afterLines="50" w:line="400" w:lineRule="exact"/>
              <w:rPr>
                <w:rFonts w:ascii="Times New Roman" w:hAnsi="Times New Roman" w:eastAsia="宋体" w:cs="Times New Roman"/>
                <w:sz w:val="24"/>
                <w:szCs w:val="24"/>
              </w:rPr>
            </w:pPr>
            <w:r>
              <w:rPr>
                <w:rFonts w:hint="eastAsia" w:ascii="Times New Roman" w:hAnsi="宋体" w:eastAsia="宋体" w:cs="Times New Roman"/>
                <w:sz w:val="24"/>
                <w:szCs w:val="24"/>
              </w:rPr>
              <w:t>怡港投资公司</w:t>
            </w:r>
            <w:r>
              <w:rPr>
                <w:rFonts w:ascii="Times New Roman" w:hAnsi="宋体" w:eastAsia="宋体" w:cs="Times New Roman"/>
                <w:sz w:val="24"/>
                <w:szCs w:val="24"/>
              </w:rPr>
              <w:t>是一家依据中国法律于</w:t>
            </w:r>
            <w:r>
              <w:rPr>
                <w:rFonts w:hint="eastAsia" w:ascii="Times New Roman" w:hAnsi="Times New Roman" w:eastAsia="宋体" w:cs="Times New Roman"/>
                <w:sz w:val="24"/>
                <w:szCs w:val="24"/>
              </w:rPr>
              <w:t>2016</w:t>
            </w:r>
            <w:r>
              <w:rPr>
                <w:rFonts w:ascii="Times New Roman" w:hAnsi="宋体" w:eastAsia="宋体" w:cs="Times New Roman"/>
                <w:sz w:val="24"/>
                <w:szCs w:val="24"/>
              </w:rPr>
              <w:t>年</w:t>
            </w:r>
            <w:r>
              <w:rPr>
                <w:rFonts w:hint="eastAsia" w:ascii="Times New Roman" w:hAnsi="Times New Roman" w:eastAsia="宋体" w:cs="Times New Roman"/>
                <w:sz w:val="24"/>
                <w:szCs w:val="24"/>
              </w:rPr>
              <w:t>2</w:t>
            </w:r>
            <w:r>
              <w:rPr>
                <w:rFonts w:ascii="Times New Roman" w:hAnsi="宋体" w:eastAsia="宋体" w:cs="Times New Roman"/>
                <w:sz w:val="24"/>
                <w:szCs w:val="24"/>
              </w:rPr>
              <w:t>月</w:t>
            </w:r>
            <w:r>
              <w:rPr>
                <w:rFonts w:hint="eastAsia" w:ascii="Times New Roman" w:hAnsi="Times New Roman" w:eastAsia="宋体" w:cs="Times New Roman"/>
                <w:sz w:val="24"/>
                <w:szCs w:val="24"/>
              </w:rPr>
              <w:t>6</w:t>
            </w:r>
            <w:r>
              <w:rPr>
                <w:rFonts w:ascii="Times New Roman" w:hAnsi="宋体" w:eastAsia="宋体" w:cs="Times New Roman"/>
                <w:sz w:val="24"/>
                <w:szCs w:val="24"/>
              </w:rPr>
              <w:t>日在</w:t>
            </w:r>
            <w:r>
              <w:rPr>
                <w:rFonts w:hint="eastAsia" w:ascii="Times New Roman" w:hAnsi="宋体" w:eastAsia="宋体" w:cs="Times New Roman"/>
                <w:sz w:val="24"/>
                <w:szCs w:val="24"/>
              </w:rPr>
              <w:t>上海</w:t>
            </w:r>
            <w:r>
              <w:rPr>
                <w:rFonts w:ascii="Times New Roman" w:hAnsi="宋体" w:eastAsia="宋体" w:cs="Times New Roman"/>
                <w:sz w:val="24"/>
                <w:szCs w:val="24"/>
              </w:rPr>
              <w:t>注册成立的内资公司，</w:t>
            </w:r>
            <w:r>
              <w:rPr>
                <w:rFonts w:hint="eastAsia" w:ascii="Times New Roman" w:hAnsi="宋体" w:eastAsia="宋体" w:cs="Times New Roman"/>
                <w:sz w:val="24"/>
                <w:szCs w:val="24"/>
              </w:rPr>
              <w:t>主营业务为投资管理，实业投资，商务信息、企业管理、投资、法律咨询（不含律师服务），计算机技术领域内的开发、转让、咨询等服务，从事货物及技术的进出口业务。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8D8D8" w:themeFill="background1" w:themeFillShade="D9"/>
          </w:tcPr>
          <w:p>
            <w:pPr>
              <w:spacing w:line="500" w:lineRule="exact"/>
              <w:rPr>
                <w:rFonts w:ascii="Times New Roman" w:hAnsi="Times New Roman" w:eastAsia="宋体" w:cs="Times New Roman"/>
                <w:sz w:val="24"/>
                <w:szCs w:val="24"/>
              </w:rPr>
            </w:pPr>
            <w:r>
              <w:rPr>
                <w:rFonts w:ascii="Times New Roman" w:hAnsi="宋体" w:eastAsia="宋体" w:cs="Times New Roman"/>
                <w:sz w:val="24"/>
                <w:szCs w:val="24"/>
              </w:rPr>
              <w:t>简易案件理由（可多选）</w:t>
            </w:r>
          </w:p>
        </w:tc>
        <w:tc>
          <w:tcPr>
            <w:tcW w:w="6949" w:type="dxa"/>
            <w:gridSpan w:val="2"/>
          </w:tcPr>
          <w:p>
            <w:pPr>
              <w:spacing w:beforeLines="50"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1</w:t>
            </w:r>
            <w:r>
              <w:rPr>
                <w:rFonts w:ascii="Times New Roman" w:hAnsi="宋体" w:eastAsia="宋体" w:cs="Times New Roman"/>
                <w:sz w:val="24"/>
                <w:szCs w:val="24"/>
              </w:rPr>
              <w:t>、在同一相关市场，所有参与集中的经营者所占市场份额之和小于</w:t>
            </w:r>
            <w:r>
              <w:rPr>
                <w:rFonts w:ascii="Times New Roman" w:hAnsi="Times New Roman" w:eastAsia="宋体" w:cs="Times New Roman"/>
                <w:sz w:val="24"/>
                <w:szCs w:val="24"/>
              </w:rPr>
              <w:t>15%</w:t>
            </w:r>
            <w:r>
              <w:rPr>
                <w:rFonts w:ascii="Times New Roman" w:hAnsi="宋体"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8D8D8" w:themeFill="background1" w:themeFillShade="D9"/>
          </w:tcPr>
          <w:p>
            <w:pPr>
              <w:spacing w:line="500" w:lineRule="exact"/>
              <w:rPr>
                <w:rFonts w:ascii="Times New Roman" w:hAnsi="Times New Roman" w:eastAsia="宋体" w:cs="Times New Roman"/>
                <w:sz w:val="24"/>
                <w:szCs w:val="24"/>
              </w:rPr>
            </w:pPr>
          </w:p>
        </w:tc>
        <w:tc>
          <w:tcPr>
            <w:tcW w:w="6949" w:type="dxa"/>
            <w:gridSpan w:val="2"/>
          </w:tcPr>
          <w:p>
            <w:pPr>
              <w:spacing w:beforeLines="50" w:afterLines="50" w:line="400" w:lineRule="exact"/>
              <w:rPr>
                <w:rFonts w:ascii="Times New Roman" w:hAnsi="Times New Roman" w:eastAsia="宋体" w:cs="Times New Roman"/>
                <w:sz w:val="24"/>
                <w:szCs w:val="24"/>
              </w:rPr>
            </w:pPr>
            <w:r>
              <w:rPr>
                <w:rFonts w:ascii="Times New Roman" w:hAnsi="Times New Roman" w:eastAsia="宋体" w:cs="Times New Roman"/>
                <w:sz w:val="24"/>
                <w:szCs w:val="24"/>
              </w:rPr>
              <w:sym w:font="Wingdings" w:char="F0FE"/>
            </w:r>
            <w:r>
              <w:rPr>
                <w:rFonts w:ascii="Times New Roman" w:hAnsi="Times New Roman" w:eastAsia="宋体" w:cs="Times New Roman"/>
                <w:sz w:val="24"/>
                <w:szCs w:val="24"/>
              </w:rPr>
              <w:t>2</w:t>
            </w:r>
            <w:r>
              <w:rPr>
                <w:rFonts w:ascii="Times New Roman" w:hAnsi="宋体" w:eastAsia="宋体" w:cs="Times New Roman"/>
                <w:sz w:val="24"/>
                <w:szCs w:val="24"/>
              </w:rPr>
              <w:t>、存在上下游关系的参与集中的经营者，在上下游市场所占的市场份额均小于</w:t>
            </w:r>
            <w:r>
              <w:rPr>
                <w:rFonts w:ascii="Times New Roman" w:hAnsi="Times New Roman" w:eastAsia="宋体" w:cs="Times New Roman"/>
                <w:sz w:val="24"/>
                <w:szCs w:val="24"/>
              </w:rPr>
              <w:t>25%</w:t>
            </w:r>
            <w:r>
              <w:rPr>
                <w:rFonts w:ascii="Times New Roman" w:hAnsi="宋体"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8D8D8" w:themeFill="background1" w:themeFillShade="D9"/>
          </w:tcPr>
          <w:p>
            <w:pPr>
              <w:spacing w:line="500" w:lineRule="exact"/>
              <w:rPr>
                <w:rFonts w:ascii="Times New Roman" w:hAnsi="Times New Roman" w:eastAsia="宋体" w:cs="Times New Roman"/>
                <w:sz w:val="24"/>
                <w:szCs w:val="24"/>
              </w:rPr>
            </w:pPr>
          </w:p>
        </w:tc>
        <w:tc>
          <w:tcPr>
            <w:tcW w:w="6949" w:type="dxa"/>
            <w:gridSpan w:val="2"/>
          </w:tcPr>
          <w:p>
            <w:pPr>
              <w:spacing w:beforeLines="50"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3</w:t>
            </w:r>
            <w:r>
              <w:rPr>
                <w:rFonts w:ascii="Times New Roman" w:hAnsi="宋体" w:eastAsia="宋体" w:cs="Times New Roman"/>
                <w:sz w:val="24"/>
                <w:szCs w:val="24"/>
              </w:rPr>
              <w:t>、不在同一相关市场、也不存在上下游关系的参与集中的经营者，在与交易有关的每个市场所占的份额均小于</w:t>
            </w:r>
            <w:r>
              <w:rPr>
                <w:rFonts w:ascii="Times New Roman" w:hAnsi="Times New Roman" w:eastAsia="宋体" w:cs="Times New Roman"/>
                <w:sz w:val="24"/>
                <w:szCs w:val="24"/>
              </w:rPr>
              <w:t>25%</w:t>
            </w:r>
            <w:r>
              <w:rPr>
                <w:rFonts w:ascii="Times New Roman" w:hAnsi="宋体" w:eastAsia="宋体" w:cs="Times New Roman"/>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8D8D8" w:themeFill="background1" w:themeFillShade="D9"/>
          </w:tcPr>
          <w:p>
            <w:pPr>
              <w:spacing w:line="500" w:lineRule="exact"/>
              <w:rPr>
                <w:rFonts w:ascii="Times New Roman" w:hAnsi="Times New Roman" w:eastAsia="宋体" w:cs="Times New Roman"/>
                <w:sz w:val="24"/>
                <w:szCs w:val="24"/>
              </w:rPr>
            </w:pPr>
          </w:p>
        </w:tc>
        <w:tc>
          <w:tcPr>
            <w:tcW w:w="6949" w:type="dxa"/>
            <w:gridSpan w:val="2"/>
          </w:tcPr>
          <w:p>
            <w:pPr>
              <w:spacing w:beforeLines="50"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4</w:t>
            </w:r>
            <w:r>
              <w:rPr>
                <w:rFonts w:ascii="Times New Roman" w:hAnsi="宋体" w:eastAsia="宋体" w:cs="Times New Roman"/>
                <w:sz w:val="24"/>
                <w:szCs w:val="24"/>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8D8D8" w:themeFill="background1" w:themeFillShade="D9"/>
          </w:tcPr>
          <w:p>
            <w:pPr>
              <w:spacing w:line="500" w:lineRule="exact"/>
              <w:rPr>
                <w:rFonts w:ascii="Times New Roman" w:hAnsi="Times New Roman" w:eastAsia="宋体" w:cs="Times New Roman"/>
                <w:sz w:val="24"/>
                <w:szCs w:val="24"/>
              </w:rPr>
            </w:pPr>
          </w:p>
        </w:tc>
        <w:tc>
          <w:tcPr>
            <w:tcW w:w="6949" w:type="dxa"/>
            <w:gridSpan w:val="2"/>
          </w:tcPr>
          <w:p>
            <w:pPr>
              <w:spacing w:beforeLines="50"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5</w:t>
            </w:r>
            <w:r>
              <w:rPr>
                <w:rFonts w:ascii="Times New Roman" w:hAnsi="宋体" w:eastAsia="宋体" w:cs="Times New Roman"/>
                <w:sz w:val="24"/>
                <w:szCs w:val="24"/>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8D8D8" w:themeFill="background1" w:themeFillShade="D9"/>
          </w:tcPr>
          <w:p>
            <w:pPr>
              <w:spacing w:line="500" w:lineRule="exact"/>
              <w:rPr>
                <w:rFonts w:ascii="Times New Roman" w:hAnsi="Times New Roman" w:eastAsia="宋体" w:cs="Times New Roman"/>
                <w:sz w:val="24"/>
                <w:szCs w:val="24"/>
              </w:rPr>
            </w:pPr>
          </w:p>
        </w:tc>
        <w:tc>
          <w:tcPr>
            <w:tcW w:w="6949" w:type="dxa"/>
            <w:gridSpan w:val="2"/>
          </w:tcPr>
          <w:p>
            <w:pPr>
              <w:spacing w:beforeLines="50" w:afterLines="50" w:line="400" w:lineRule="exact"/>
              <w:rPr>
                <w:rFonts w:ascii="Times New Roman" w:hAnsi="Times New Roman" w:eastAsia="宋体" w:cs="Times New Roman"/>
                <w:sz w:val="24"/>
                <w:szCs w:val="24"/>
              </w:rPr>
            </w:pPr>
            <w:r>
              <w:rPr>
                <w:rFonts w:ascii="Times New Roman" w:hAnsi="Times New Roman" w:eastAsia="宋体" w:cs="Times New Roman"/>
                <w:sz w:val="36"/>
                <w:szCs w:val="36"/>
              </w:rPr>
              <w:t>□</w:t>
            </w:r>
            <w:r>
              <w:rPr>
                <w:rFonts w:ascii="Times New Roman" w:hAnsi="Times New Roman" w:eastAsia="宋体" w:cs="Times New Roman"/>
                <w:sz w:val="24"/>
                <w:szCs w:val="24"/>
              </w:rPr>
              <w:t>6</w:t>
            </w:r>
            <w:r>
              <w:rPr>
                <w:rFonts w:ascii="Times New Roman" w:hAnsi="宋体" w:eastAsia="宋体" w:cs="Times New Roman"/>
                <w:sz w:val="24"/>
                <w:szCs w:val="24"/>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8D8D8" w:themeFill="background1" w:themeFillShade="D9"/>
          </w:tcPr>
          <w:p>
            <w:pPr>
              <w:widowControl/>
              <w:snapToGrid w:val="0"/>
              <w:spacing w:beforeLines="50" w:afterLines="50" w:line="400" w:lineRule="exact"/>
              <w:jc w:val="left"/>
              <w:rPr>
                <w:rFonts w:ascii="Times New Roman" w:hAnsi="Times New Roman" w:eastAsia="宋体" w:cs="Times New Roman"/>
                <w:sz w:val="24"/>
                <w:szCs w:val="24"/>
              </w:rPr>
            </w:pPr>
            <w:r>
              <w:rPr>
                <w:rFonts w:ascii="Times New Roman" w:hAnsi="Times New Roman" w:eastAsia="宋体" w:cs="Times New Roman"/>
                <w:sz w:val="24"/>
                <w:szCs w:val="24"/>
              </w:rPr>
              <w:t>备注</w:t>
            </w:r>
          </w:p>
        </w:tc>
        <w:tc>
          <w:tcPr>
            <w:tcW w:w="6949" w:type="dxa"/>
            <w:gridSpan w:val="2"/>
          </w:tcPr>
          <w:p>
            <w:pPr>
              <w:widowControl/>
              <w:snapToGrid w:val="0"/>
              <w:spacing w:beforeLines="50" w:afterLines="50" w:line="400" w:lineRule="exact"/>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本次集中涉及上下游相关市场，具体市场及份额为：</w:t>
            </w:r>
          </w:p>
          <w:p>
            <w:pPr>
              <w:pStyle w:val="16"/>
              <w:widowControl/>
              <w:numPr>
                <w:ilvl w:val="0"/>
                <w:numId w:val="1"/>
              </w:numPr>
              <w:snapToGrid w:val="0"/>
              <w:spacing w:beforeLines="50" w:afterLines="50" w:line="400" w:lineRule="exact"/>
              <w:ind w:firstLineChars="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上游市场</w:t>
            </w:r>
          </w:p>
          <w:p>
            <w:pPr>
              <w:widowControl/>
              <w:snapToGrid w:val="0"/>
              <w:spacing w:beforeLines="50" w:afterLines="50" w:line="400" w:lineRule="exact"/>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产品市场：堆场租赁</w:t>
            </w:r>
          </w:p>
          <w:p>
            <w:pPr>
              <w:widowControl/>
              <w:snapToGrid w:val="0"/>
              <w:spacing w:beforeLines="50" w:afterLines="50" w:line="400" w:lineRule="exact"/>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地域市场：上海市</w:t>
            </w:r>
          </w:p>
          <w:p>
            <w:pPr>
              <w:widowControl/>
              <w:snapToGrid w:val="0"/>
              <w:spacing w:beforeLines="50" w:afterLines="50" w:line="400" w:lineRule="exact"/>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市场份额：</w:t>
            </w:r>
          </w:p>
          <w:tbl>
            <w:tblPr>
              <w:tblStyle w:val="10"/>
              <w:tblW w:w="6058"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7"/>
              <w:gridCol w:w="41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6" w:hRule="atLeast"/>
              </w:trPr>
              <w:tc>
                <w:tcPr>
                  <w:tcW w:w="1877" w:type="dxa"/>
                  <w:shd w:val="pct10" w:color="auto" w:fill="auto"/>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经营者</w:t>
                  </w:r>
                </w:p>
              </w:tc>
              <w:tc>
                <w:tcPr>
                  <w:tcW w:w="4181" w:type="dxa"/>
                  <w:shd w:val="pct10" w:color="auto" w:fill="auto"/>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8" w:hRule="atLeast"/>
              </w:trPr>
              <w:tc>
                <w:tcPr>
                  <w:tcW w:w="1877" w:type="dxa"/>
                  <w:shd w:val="pct10" w:color="auto" w:fill="auto"/>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hint="eastAsia" w:ascii="Times New Roman" w:hAnsi="宋体" w:eastAsia="宋体" w:cs="Times New Roman"/>
                      <w:sz w:val="24"/>
                      <w:szCs w:val="24"/>
                      <w:lang w:val="en-AU"/>
                    </w:rPr>
                    <w:t>临港普洛斯</w:t>
                  </w:r>
                </w:p>
              </w:tc>
              <w:tc>
                <w:tcPr>
                  <w:tcW w:w="4181" w:type="dxa"/>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hint="eastAsia" w:ascii="Times New Roman" w:hAnsi="宋体" w:eastAsia="宋体" w:cs="Times New Roman"/>
                      <w:b/>
                      <w:i/>
                      <w:sz w:val="24"/>
                      <w:szCs w:val="24"/>
                    </w:rPr>
                    <w:t>[4.9-5.3%，具体数据为保密信息]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1" w:hRule="atLeast"/>
              </w:trPr>
              <w:tc>
                <w:tcPr>
                  <w:tcW w:w="1877" w:type="dxa"/>
                  <w:shd w:val="pct10" w:color="auto" w:fill="auto"/>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hint="eastAsia" w:ascii="Times New Roman" w:hAnsi="宋体" w:eastAsia="宋体" w:cs="Times New Roman"/>
                      <w:sz w:val="24"/>
                      <w:szCs w:val="24"/>
                    </w:rPr>
                    <w:t>怡港投资公司</w:t>
                  </w:r>
                </w:p>
              </w:tc>
              <w:tc>
                <w:tcPr>
                  <w:tcW w:w="4181" w:type="dxa"/>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ascii="Times New Roman" w:hAnsi="宋体" w:eastAsia="宋体"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7" w:hRule="atLeast"/>
              </w:trPr>
              <w:tc>
                <w:tcPr>
                  <w:tcW w:w="1877" w:type="dxa"/>
                  <w:shd w:val="pct10" w:color="auto" w:fill="auto"/>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hint="eastAsia" w:ascii="Times New Roman" w:hAnsi="宋体" w:eastAsia="宋体" w:cs="Times New Roman"/>
                      <w:bCs/>
                      <w:sz w:val="24"/>
                      <w:szCs w:val="24"/>
                    </w:rPr>
                    <w:t>合计</w:t>
                  </w:r>
                </w:p>
              </w:tc>
              <w:tc>
                <w:tcPr>
                  <w:tcW w:w="4181" w:type="dxa"/>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hint="eastAsia" w:ascii="Times New Roman" w:hAnsi="宋体" w:eastAsia="宋体" w:cs="Times New Roman"/>
                      <w:b/>
                      <w:i/>
                      <w:sz w:val="24"/>
                      <w:szCs w:val="24"/>
                    </w:rPr>
                    <w:t>[4.9-5.3%，具体数据为保密信息]</w:t>
                  </w:r>
                </w:p>
              </w:tc>
            </w:tr>
          </w:tbl>
          <w:p>
            <w:pPr>
              <w:pStyle w:val="16"/>
              <w:widowControl/>
              <w:numPr>
                <w:ilvl w:val="0"/>
                <w:numId w:val="1"/>
              </w:numPr>
              <w:snapToGrid w:val="0"/>
              <w:spacing w:beforeLines="50" w:afterLines="50" w:line="400" w:lineRule="exact"/>
              <w:ind w:firstLineChars="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下游市场</w:t>
            </w:r>
          </w:p>
          <w:p>
            <w:pPr>
              <w:widowControl/>
              <w:snapToGrid w:val="0"/>
              <w:spacing w:beforeLines="50" w:afterLines="50" w:line="400" w:lineRule="exact"/>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产品市场：集装箱短途运输</w:t>
            </w:r>
          </w:p>
          <w:p>
            <w:pPr>
              <w:widowControl/>
              <w:snapToGrid w:val="0"/>
              <w:spacing w:beforeLines="50" w:afterLines="50" w:line="400" w:lineRule="exact"/>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地域市场</w:t>
            </w:r>
            <w:bookmarkStart w:id="1" w:name="_GoBack"/>
            <w:bookmarkEnd w:id="1"/>
            <w:r>
              <w:rPr>
                <w:rFonts w:hint="eastAsia" w:ascii="Times New Roman" w:hAnsi="Times New Roman" w:eastAsia="宋体" w:cs="Times New Roman"/>
                <w:sz w:val="24"/>
                <w:szCs w:val="24"/>
              </w:rPr>
              <w:t>：上海市</w:t>
            </w:r>
          </w:p>
          <w:p>
            <w:pPr>
              <w:widowControl/>
              <w:snapToGrid w:val="0"/>
              <w:spacing w:beforeLines="50" w:afterLines="50" w:line="400" w:lineRule="exact"/>
              <w:ind w:firstLine="480" w:firstLineChars="200"/>
              <w:jc w:val="lef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市场份额：</w:t>
            </w:r>
          </w:p>
          <w:tbl>
            <w:tblPr>
              <w:tblStyle w:val="10"/>
              <w:tblW w:w="6058" w:type="dxa"/>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7"/>
              <w:gridCol w:w="41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6" w:hRule="atLeast"/>
              </w:trPr>
              <w:tc>
                <w:tcPr>
                  <w:tcW w:w="1877" w:type="dxa"/>
                  <w:shd w:val="pct10" w:color="auto" w:fill="auto"/>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经营者</w:t>
                  </w:r>
                </w:p>
              </w:tc>
              <w:tc>
                <w:tcPr>
                  <w:tcW w:w="4181" w:type="dxa"/>
                  <w:shd w:val="pct10" w:color="auto" w:fill="auto"/>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8" w:hRule="atLeast"/>
              </w:trPr>
              <w:tc>
                <w:tcPr>
                  <w:tcW w:w="1877" w:type="dxa"/>
                  <w:shd w:val="pct10" w:color="auto" w:fill="auto"/>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hint="eastAsia" w:ascii="Times New Roman" w:hAnsi="宋体" w:eastAsia="宋体" w:cs="Times New Roman"/>
                      <w:sz w:val="24"/>
                      <w:szCs w:val="24"/>
                      <w:lang w:val="en-AU"/>
                    </w:rPr>
                    <w:t>临港普洛斯</w:t>
                  </w:r>
                </w:p>
              </w:tc>
              <w:tc>
                <w:tcPr>
                  <w:tcW w:w="4181" w:type="dxa"/>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ascii="Times New Roman" w:hAnsi="宋体" w:eastAsia="宋体"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1" w:hRule="atLeast"/>
              </w:trPr>
              <w:tc>
                <w:tcPr>
                  <w:tcW w:w="1877" w:type="dxa"/>
                  <w:shd w:val="pct10" w:color="auto" w:fill="auto"/>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hint="eastAsia" w:ascii="Times New Roman" w:hAnsi="宋体" w:eastAsia="宋体" w:cs="Times New Roman"/>
                      <w:sz w:val="24"/>
                      <w:szCs w:val="24"/>
                    </w:rPr>
                    <w:t>怡港投资公司</w:t>
                  </w:r>
                </w:p>
              </w:tc>
              <w:tc>
                <w:tcPr>
                  <w:tcW w:w="4181" w:type="dxa"/>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ascii="Times New Roman" w:hAnsi="宋体" w:eastAsia="宋体" w:cs="Times New Roman"/>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7" w:hRule="atLeast"/>
              </w:trPr>
              <w:tc>
                <w:tcPr>
                  <w:tcW w:w="1877" w:type="dxa"/>
                  <w:shd w:val="pct10" w:color="auto" w:fill="auto"/>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hint="eastAsia" w:ascii="Times New Roman" w:hAnsi="宋体" w:eastAsia="宋体" w:cs="Times New Roman"/>
                      <w:bCs/>
                      <w:sz w:val="24"/>
                      <w:szCs w:val="24"/>
                    </w:rPr>
                    <w:t>合计</w:t>
                  </w:r>
                </w:p>
              </w:tc>
              <w:tc>
                <w:tcPr>
                  <w:tcW w:w="4181" w:type="dxa"/>
                  <w:vAlign w:val="center"/>
                </w:tcPr>
                <w:p>
                  <w:pPr>
                    <w:pStyle w:val="16"/>
                    <w:keepNext w:val="0"/>
                    <w:keepLines w:val="0"/>
                    <w:pageBreakBefore w:val="0"/>
                    <w:widowControl/>
                    <w:kinsoku/>
                    <w:wordWrap/>
                    <w:overflowPunct/>
                    <w:topLinePunct w:val="0"/>
                    <w:autoSpaceDE/>
                    <w:autoSpaceDN/>
                    <w:bidi w:val="0"/>
                    <w:adjustRightInd/>
                    <w:snapToGrid w:val="0"/>
                    <w:spacing w:line="400" w:lineRule="exact"/>
                    <w:ind w:left="0" w:leftChars="0" w:right="0" w:rightChars="0" w:firstLine="0" w:firstLineChars="0"/>
                    <w:jc w:val="left"/>
                    <w:textAlignment w:val="auto"/>
                    <w:outlineLvl w:val="9"/>
                    <w:rPr>
                      <w:rFonts w:hint="eastAsia" w:ascii="Times New Roman" w:hAnsi="Times New Roman" w:eastAsia="宋体" w:cs="Times New Roman"/>
                      <w:sz w:val="24"/>
                      <w:szCs w:val="24"/>
                    </w:rPr>
                  </w:pPr>
                  <w:r>
                    <w:rPr>
                      <w:rFonts w:ascii="Times New Roman" w:hAnsi="宋体" w:eastAsia="宋体" w:cs="Times New Roman"/>
                      <w:sz w:val="24"/>
                      <w:szCs w:val="24"/>
                    </w:rPr>
                    <w:t>0%</w:t>
                  </w:r>
                </w:p>
              </w:tc>
            </w:tr>
          </w:tbl>
          <w:p>
            <w:pPr>
              <w:widowControl/>
              <w:snapToGrid w:val="0"/>
              <w:spacing w:beforeLines="50" w:afterLines="50" w:line="400" w:lineRule="exact"/>
              <w:jc w:val="left"/>
              <w:rPr>
                <w:rFonts w:hint="eastAsia" w:ascii="Times New Roman" w:hAnsi="Times New Roman" w:eastAsia="宋体" w:cs="Times New Roman"/>
                <w:sz w:val="24"/>
                <w:szCs w:val="24"/>
              </w:rPr>
            </w:pPr>
          </w:p>
          <w:p>
            <w:pPr>
              <w:widowControl/>
              <w:snapToGrid w:val="0"/>
              <w:spacing w:beforeLines="50" w:afterLines="50" w:line="400" w:lineRule="exact"/>
              <w:jc w:val="left"/>
              <w:rPr>
                <w:rFonts w:hint="eastAsia" w:ascii="Times New Roman" w:hAnsi="Times New Roman" w:eastAsia="宋体" w:cs="Times New Roman"/>
                <w:sz w:val="24"/>
                <w:szCs w:val="24"/>
              </w:rPr>
            </w:pPr>
          </w:p>
        </w:tc>
      </w:tr>
    </w:tbl>
    <w:p>
      <w:pPr>
        <w:snapToGrid w:val="0"/>
        <w:spacing w:line="240" w:lineRule="exact"/>
        <w:jc w:val="left"/>
        <w:rPr>
          <w:rFonts w:hint="eastAsia" w:ascii="楷体_GB2312" w:hAnsi="宋体" w:eastAsia="楷体_GB2312"/>
          <w:sz w:val="24"/>
          <w:szCs w:val="24"/>
        </w:rPr>
      </w:pPr>
    </w:p>
    <w:p>
      <w:pPr>
        <w:snapToGrid w:val="0"/>
        <w:spacing w:line="240" w:lineRule="exact"/>
        <w:jc w:val="left"/>
        <w:rPr>
          <w:rFonts w:ascii="楷体_GB2312" w:hAnsi="宋体" w:eastAsia="楷体_GB2312"/>
          <w:sz w:val="24"/>
          <w:szCs w:val="24"/>
        </w:rPr>
      </w:pPr>
      <w:r>
        <w:rPr>
          <w:rFonts w:hint="eastAsia" w:ascii="楷体_GB2312" w:hAnsi="宋体" w:eastAsia="楷体_GB2312"/>
          <w:sz w:val="24"/>
          <w:szCs w:val="24"/>
        </w:rPr>
        <w:t>注解：</w:t>
      </w:r>
    </w:p>
    <w:p>
      <w:pPr>
        <w:snapToGrid w:val="0"/>
        <w:spacing w:line="360" w:lineRule="auto"/>
        <w:ind w:firstLine="480" w:firstLineChars="200"/>
        <w:jc w:val="left"/>
        <w:rPr>
          <w:rFonts w:ascii="楷体_GB2312" w:hAnsi="宋体" w:eastAsia="楷体_GB2312"/>
          <w:sz w:val="24"/>
          <w:szCs w:val="24"/>
        </w:rPr>
      </w:pPr>
      <w:r>
        <w:rPr>
          <w:rFonts w:hint="eastAsia" w:ascii="楷体_GB2312" w:hAnsi="宋体" w:eastAsia="楷体_GB2312"/>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楷体_GB2312" w:hAnsi="Times New Roman" w:eastAsia="楷体_GB2312"/>
          <w:sz w:val="28"/>
          <w:szCs w:val="28"/>
        </w:rPr>
      </w:pPr>
      <w:r>
        <w:rPr>
          <w:rFonts w:hint="eastAsia" w:ascii="楷体_GB2312" w:hAnsi="宋体" w:eastAsia="楷体_GB2312"/>
          <w:sz w:val="24"/>
          <w:szCs w:val="24"/>
        </w:rPr>
        <w:t>2、申报方申请简易案件的理由是基于第4项、第5项时，无须在备注中说明相关市场和市场份额。</w:t>
      </w:r>
      <w:r>
        <w:rPr>
          <w:rFonts w:hint="eastAsia" w:ascii="楷体_GB2312" w:hAnsi="宋体" w:eastAsia="楷体_GB2312"/>
          <w:sz w:val="24"/>
          <w:szCs w:val="24"/>
        </w:rPr>
        <w:br w:type="textWrapping"/>
      </w:r>
      <w:r>
        <w:rPr>
          <w:rFonts w:hint="eastAsia" w:ascii="楷体_GB2312" w:hAnsi="宋体" w:eastAsia="楷体_GB2312"/>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swiss"/>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B53A2"/>
    <w:multiLevelType w:val="multilevel"/>
    <w:tmpl w:val="1D5B53A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94095"/>
    <w:rsid w:val="00005696"/>
    <w:rsid w:val="00005FA1"/>
    <w:rsid w:val="00030D29"/>
    <w:rsid w:val="00033A90"/>
    <w:rsid w:val="00037E3D"/>
    <w:rsid w:val="00045B51"/>
    <w:rsid w:val="00065205"/>
    <w:rsid w:val="000723FA"/>
    <w:rsid w:val="00082C1B"/>
    <w:rsid w:val="00094095"/>
    <w:rsid w:val="000B3DCC"/>
    <w:rsid w:val="000D7652"/>
    <w:rsid w:val="000E5321"/>
    <w:rsid w:val="001212F9"/>
    <w:rsid w:val="001303EE"/>
    <w:rsid w:val="001524B9"/>
    <w:rsid w:val="0015488F"/>
    <w:rsid w:val="00157F78"/>
    <w:rsid w:val="001767D1"/>
    <w:rsid w:val="001C4798"/>
    <w:rsid w:val="001F5F0B"/>
    <w:rsid w:val="002019A9"/>
    <w:rsid w:val="00207E74"/>
    <w:rsid w:val="00210F5D"/>
    <w:rsid w:val="00241CE5"/>
    <w:rsid w:val="00255472"/>
    <w:rsid w:val="0027585D"/>
    <w:rsid w:val="00275A3D"/>
    <w:rsid w:val="0028668D"/>
    <w:rsid w:val="00293095"/>
    <w:rsid w:val="002A5F57"/>
    <w:rsid w:val="002C6CFF"/>
    <w:rsid w:val="002D762D"/>
    <w:rsid w:val="002E6B2F"/>
    <w:rsid w:val="002F1D1F"/>
    <w:rsid w:val="002F5CE4"/>
    <w:rsid w:val="00357313"/>
    <w:rsid w:val="003652DF"/>
    <w:rsid w:val="0036691B"/>
    <w:rsid w:val="003D3A30"/>
    <w:rsid w:val="003E7097"/>
    <w:rsid w:val="00426458"/>
    <w:rsid w:val="00430537"/>
    <w:rsid w:val="00452171"/>
    <w:rsid w:val="00462174"/>
    <w:rsid w:val="00482337"/>
    <w:rsid w:val="004908DB"/>
    <w:rsid w:val="004A1DAC"/>
    <w:rsid w:val="004A7139"/>
    <w:rsid w:val="004D47CE"/>
    <w:rsid w:val="004E77F9"/>
    <w:rsid w:val="005241C9"/>
    <w:rsid w:val="00535D98"/>
    <w:rsid w:val="00546866"/>
    <w:rsid w:val="00554252"/>
    <w:rsid w:val="00563F61"/>
    <w:rsid w:val="005660D2"/>
    <w:rsid w:val="00580FA9"/>
    <w:rsid w:val="00581657"/>
    <w:rsid w:val="00581B51"/>
    <w:rsid w:val="0058765D"/>
    <w:rsid w:val="005A6227"/>
    <w:rsid w:val="005B52E5"/>
    <w:rsid w:val="005B65F3"/>
    <w:rsid w:val="005F361A"/>
    <w:rsid w:val="00607CD9"/>
    <w:rsid w:val="00626576"/>
    <w:rsid w:val="006276BC"/>
    <w:rsid w:val="00634708"/>
    <w:rsid w:val="00635C19"/>
    <w:rsid w:val="00637C57"/>
    <w:rsid w:val="00643722"/>
    <w:rsid w:val="006652D0"/>
    <w:rsid w:val="006846BF"/>
    <w:rsid w:val="006965D3"/>
    <w:rsid w:val="006A009A"/>
    <w:rsid w:val="006A6AC4"/>
    <w:rsid w:val="006C3614"/>
    <w:rsid w:val="00701EA9"/>
    <w:rsid w:val="00702090"/>
    <w:rsid w:val="007216FE"/>
    <w:rsid w:val="00757FB5"/>
    <w:rsid w:val="007678D3"/>
    <w:rsid w:val="007722D1"/>
    <w:rsid w:val="00786977"/>
    <w:rsid w:val="00790721"/>
    <w:rsid w:val="007934ED"/>
    <w:rsid w:val="007B16FF"/>
    <w:rsid w:val="007B4DC1"/>
    <w:rsid w:val="007B6451"/>
    <w:rsid w:val="007E5FD7"/>
    <w:rsid w:val="007F2F39"/>
    <w:rsid w:val="008020E2"/>
    <w:rsid w:val="00840197"/>
    <w:rsid w:val="008427E0"/>
    <w:rsid w:val="00855AAA"/>
    <w:rsid w:val="0087560B"/>
    <w:rsid w:val="008C2AD8"/>
    <w:rsid w:val="009119FA"/>
    <w:rsid w:val="00911BB9"/>
    <w:rsid w:val="00A22142"/>
    <w:rsid w:val="00A522F2"/>
    <w:rsid w:val="00A662B5"/>
    <w:rsid w:val="00A827A2"/>
    <w:rsid w:val="00A837A6"/>
    <w:rsid w:val="00A95A4A"/>
    <w:rsid w:val="00AA2EDD"/>
    <w:rsid w:val="00AB0B34"/>
    <w:rsid w:val="00AB68C0"/>
    <w:rsid w:val="00AD5434"/>
    <w:rsid w:val="00AF57E8"/>
    <w:rsid w:val="00B14A60"/>
    <w:rsid w:val="00B23CB6"/>
    <w:rsid w:val="00B4623D"/>
    <w:rsid w:val="00B4642C"/>
    <w:rsid w:val="00B66B30"/>
    <w:rsid w:val="00B709A7"/>
    <w:rsid w:val="00B83847"/>
    <w:rsid w:val="00BA6397"/>
    <w:rsid w:val="00BD423B"/>
    <w:rsid w:val="00BE2C6B"/>
    <w:rsid w:val="00C05A5C"/>
    <w:rsid w:val="00C14DB1"/>
    <w:rsid w:val="00C64D13"/>
    <w:rsid w:val="00CA3DFA"/>
    <w:rsid w:val="00CA4C4F"/>
    <w:rsid w:val="00CB768D"/>
    <w:rsid w:val="00CC1F71"/>
    <w:rsid w:val="00CD497E"/>
    <w:rsid w:val="00CE2974"/>
    <w:rsid w:val="00D178F7"/>
    <w:rsid w:val="00D33718"/>
    <w:rsid w:val="00D74C01"/>
    <w:rsid w:val="00D92BC9"/>
    <w:rsid w:val="00D97082"/>
    <w:rsid w:val="00DA1B9F"/>
    <w:rsid w:val="00DA585E"/>
    <w:rsid w:val="00DE1784"/>
    <w:rsid w:val="00DF5BCB"/>
    <w:rsid w:val="00E157A0"/>
    <w:rsid w:val="00E256CD"/>
    <w:rsid w:val="00E47FEA"/>
    <w:rsid w:val="00E5321F"/>
    <w:rsid w:val="00E62773"/>
    <w:rsid w:val="00E6529B"/>
    <w:rsid w:val="00E679D3"/>
    <w:rsid w:val="00E86065"/>
    <w:rsid w:val="00E92062"/>
    <w:rsid w:val="00E9231C"/>
    <w:rsid w:val="00E92739"/>
    <w:rsid w:val="00E929CE"/>
    <w:rsid w:val="00E941FA"/>
    <w:rsid w:val="00ED1CF4"/>
    <w:rsid w:val="00EE4A8B"/>
    <w:rsid w:val="00F14B87"/>
    <w:rsid w:val="00F52CDE"/>
    <w:rsid w:val="00F74B7D"/>
    <w:rsid w:val="00F84FD2"/>
    <w:rsid w:val="00F87C1F"/>
    <w:rsid w:val="00F920F9"/>
    <w:rsid w:val="00FA4325"/>
    <w:rsid w:val="00FA64CA"/>
    <w:rsid w:val="00FB1A80"/>
    <w:rsid w:val="00FB5B2B"/>
    <w:rsid w:val="00FC398E"/>
    <w:rsid w:val="00FC48FE"/>
    <w:rsid w:val="00FF6234"/>
    <w:rsid w:val="2E1739BB"/>
    <w:rsid w:val="3230396F"/>
    <w:rsid w:val="52993DBE"/>
    <w:rsid w:val="68B74FA6"/>
  </w:rsids>
  <m:mathPr>
    <m:lMargin m:val="0"/>
    <m:mathFont m:val="Cambria Math"/>
    <m:rMargin m:val="0"/>
    <m:wrapIndent m:val="1440"/>
    <m:brkBin m:val="before"/>
    <m:brkBinSub m:val="--"/>
    <m:defJc m:val="centerGroup"/>
    <m:intLim m:val="subSup"/>
    <m:naryLim m:val="undOvr"/>
    <m:smallFrac m:val="off"/>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qFormat/>
    <w:uiPriority w:val="1"/>
  </w:style>
  <w:style w:type="table" w:default="1" w:styleId="9">
    <w:name w:val="Normal Table"/>
    <w:unhideWhenUsed/>
    <w:qFormat/>
    <w:uiPriority w:val="99"/>
    <w:tblPr>
      <w:tblLayout w:type="fixed"/>
      <w:tblCellMar>
        <w:top w:w="0" w:type="dxa"/>
        <w:left w:w="108" w:type="dxa"/>
        <w:bottom w:w="0" w:type="dxa"/>
        <w:right w:w="108" w:type="dxa"/>
      </w:tblCellMar>
    </w:tblPr>
  </w:style>
  <w:style w:type="paragraph" w:styleId="2">
    <w:name w:val="endnote text"/>
    <w:basedOn w:val="1"/>
    <w:link w:val="11"/>
    <w:unhideWhenUsed/>
    <w:qFormat/>
    <w:uiPriority w:val="99"/>
    <w:pPr>
      <w:snapToGrid w:val="0"/>
      <w:jc w:val="left"/>
    </w:pPr>
  </w:style>
  <w:style w:type="paragraph" w:styleId="3">
    <w:name w:val="Balloon Text"/>
    <w:basedOn w:val="1"/>
    <w:link w:val="15"/>
    <w:unhideWhenUsed/>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styleId="7">
    <w:name w:val="endnote reference"/>
    <w:basedOn w:val="6"/>
    <w:unhideWhenUsed/>
    <w:qFormat/>
    <w:uiPriority w:val="99"/>
    <w:rPr>
      <w:vertAlign w:val="superscript"/>
    </w:rPr>
  </w:style>
  <w:style w:type="character" w:styleId="8">
    <w:name w:val="Hyperlink"/>
    <w:basedOn w:val="6"/>
    <w:unhideWhenUsed/>
    <w:qFormat/>
    <w:uiPriority w:val="99"/>
    <w:rPr>
      <w:color w:val="0000FF"/>
      <w:u w:val="single"/>
    </w:rPr>
  </w:style>
  <w:style w:type="table" w:styleId="10">
    <w:name w:val="Table Grid"/>
    <w:basedOn w:val="9"/>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11">
    <w:name w:val="尾注文本 Char"/>
    <w:basedOn w:val="6"/>
    <w:link w:val="2"/>
    <w:semiHidden/>
    <w:qFormat/>
    <w:uiPriority w:val="99"/>
  </w:style>
  <w:style w:type="character" w:customStyle="1" w:styleId="12">
    <w:name w:val="页眉 Char"/>
    <w:basedOn w:val="6"/>
    <w:link w:val="5"/>
    <w:semiHidden/>
    <w:qFormat/>
    <w:uiPriority w:val="99"/>
    <w:rPr>
      <w:sz w:val="18"/>
      <w:szCs w:val="18"/>
    </w:rPr>
  </w:style>
  <w:style w:type="character" w:customStyle="1" w:styleId="13">
    <w:name w:val="页脚 Char"/>
    <w:basedOn w:val="6"/>
    <w:link w:val="4"/>
    <w:semiHidden/>
    <w:uiPriority w:val="99"/>
    <w:rPr>
      <w:sz w:val="18"/>
      <w:szCs w:val="18"/>
    </w:rPr>
  </w:style>
  <w:style w:type="paragraph" w:customStyle="1" w:styleId="14">
    <w:name w:val="列出段落1"/>
    <w:basedOn w:val="1"/>
    <w:qFormat/>
    <w:uiPriority w:val="34"/>
    <w:pPr>
      <w:ind w:firstLine="420" w:firstLineChars="200"/>
    </w:pPr>
  </w:style>
  <w:style w:type="character" w:customStyle="1" w:styleId="15">
    <w:name w:val="批注框文本 Char"/>
    <w:basedOn w:val="6"/>
    <w:link w:val="3"/>
    <w:semiHidden/>
    <w:uiPriority w:val="99"/>
    <w:rPr>
      <w:kern w:val="2"/>
      <w:sz w:val="18"/>
      <w:szCs w:val="18"/>
    </w:rPr>
  </w:style>
  <w:style w:type="paragraph" w:customStyle="1" w:styleId="16">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C92362-598C-4A2A-BB7D-7EAFC0CC3240}">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185</Words>
  <Characters>1059</Characters>
  <Lines>8</Lines>
  <Paragraphs>2</Paragraphs>
  <ScaleCrop>false</ScaleCrop>
  <LinksUpToDate>false</LinksUpToDate>
  <CharactersWithSpaces>1242</CharactersWithSpaces>
  <Application>WPS Office_10.1.0.5973_F1E327BC-269C-435d-A152-05C5408002CA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2015-10-20T07:07:00Z</dcterms:created>
  <dc:creator>dell</dc:creator>
  <cp:lastModifiedBy>AB</cp:lastModifiedBy>
  <dcterms:modified xsi:type="dcterms:W3CDTF">2016-09-19T12:35:13Z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2052-10.1.0.5973</vt:lpwstr>
  </property>
</Properties>
</file>