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94095" w:rsidRPr="00202C4C" w:rsidRDefault="00094095" w:rsidP="00094095">
      <w:pPr>
        <w:spacing w:line="480" w:lineRule="exact"/>
        <w:rPr>
          <w:rFonts w:ascii="仿宋_GB2312" w:eastAsia="仿宋_GB2312" w:hAnsi="Times New Roman"/>
          <w:sz w:val="28"/>
          <w:szCs w:val="28"/>
        </w:rPr>
      </w:pPr>
    </w:p>
    <w:p w:rsidR="00094095" w:rsidRPr="008E7B8C" w:rsidRDefault="00094095" w:rsidP="00094095">
      <w:pPr>
        <w:spacing w:line="440" w:lineRule="exact"/>
        <w:jc w:val="center"/>
        <w:rPr>
          <w:rFonts w:ascii="黑体" w:eastAsia="黑体" w:hAnsi="Times New Roman"/>
          <w:sz w:val="30"/>
          <w:szCs w:val="30"/>
        </w:rPr>
      </w:pPr>
      <w:r w:rsidRPr="00202C4C">
        <w:rPr>
          <w:rFonts w:ascii="黑体" w:eastAsia="黑体" w:hAnsi="Times New Roman" w:hint="eastAsia"/>
          <w:sz w:val="30"/>
          <w:szCs w:val="30"/>
        </w:rPr>
        <w:t>经营者集中简易案件公示表</w:t>
      </w:r>
    </w:p>
    <w:p w:rsidR="00094095" w:rsidRDefault="00094095" w:rsidP="00094095">
      <w:pPr>
        <w:spacing w:line="440" w:lineRule="exact"/>
        <w:rPr>
          <w:rFonts w:ascii="黑体" w:eastAsia="黑体" w:hAnsi="Times New Roman"/>
          <w:sz w:val="28"/>
          <w:szCs w:val="28"/>
        </w:rPr>
      </w:pPr>
    </w:p>
    <w:p w:rsidR="00094095" w:rsidRPr="00BA1596" w:rsidRDefault="00094095" w:rsidP="00094095">
      <w:pPr>
        <w:spacing w:line="440" w:lineRule="exact"/>
        <w:ind w:firstLineChars="302" w:firstLine="846"/>
        <w:rPr>
          <w:rFonts w:ascii="仿宋_GB2312" w:eastAsia="仿宋_GB2312" w:hAnsi="Times New Roman"/>
          <w:sz w:val="28"/>
          <w:szCs w:val="28"/>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796"/>
        <w:gridCol w:w="5153"/>
      </w:tblGrid>
      <w:tr w:rsidR="00094095" w:rsidRPr="002F2D60" w:rsidTr="002F2D60">
        <w:tc>
          <w:tcPr>
            <w:tcW w:w="1809" w:type="dxa"/>
            <w:shd w:val="clear" w:color="auto" w:fill="D9D9D9"/>
          </w:tcPr>
          <w:p w:rsidR="00094095" w:rsidRPr="004C5F06" w:rsidRDefault="00094095" w:rsidP="002F2D60">
            <w:pPr>
              <w:spacing w:line="500" w:lineRule="exact"/>
              <w:rPr>
                <w:rFonts w:ascii="仿宋" w:eastAsia="仿宋" w:hAnsi="仿宋"/>
                <w:sz w:val="28"/>
                <w:szCs w:val="28"/>
              </w:rPr>
            </w:pPr>
            <w:r w:rsidRPr="004C5F06">
              <w:rPr>
                <w:rFonts w:ascii="仿宋" w:eastAsia="仿宋" w:hAnsi="仿宋" w:hint="eastAsia"/>
                <w:sz w:val="28"/>
                <w:szCs w:val="28"/>
              </w:rPr>
              <w:t>案件名称</w:t>
            </w:r>
          </w:p>
        </w:tc>
        <w:tc>
          <w:tcPr>
            <w:tcW w:w="6949" w:type="dxa"/>
            <w:gridSpan w:val="2"/>
          </w:tcPr>
          <w:p w:rsidR="00094095" w:rsidRPr="004009CA" w:rsidRDefault="004009CA" w:rsidP="0072740D">
            <w:pPr>
              <w:widowControl/>
              <w:snapToGrid w:val="0"/>
              <w:jc w:val="left"/>
              <w:rPr>
                <w:rFonts w:ascii="仿宋" w:eastAsia="仿宋" w:hAnsi="仿宋"/>
                <w:sz w:val="28"/>
                <w:szCs w:val="28"/>
              </w:rPr>
            </w:pPr>
            <w:r w:rsidRPr="004009CA">
              <w:rPr>
                <w:rFonts w:ascii="仿宋" w:eastAsia="仿宋" w:hAnsi="仿宋" w:hint="eastAsia"/>
                <w:sz w:val="28"/>
                <w:szCs w:val="28"/>
              </w:rPr>
              <w:t>国际石油投资股份有限公司与穆巴达拉发展股份有限公司合并案</w:t>
            </w:r>
          </w:p>
        </w:tc>
      </w:tr>
      <w:tr w:rsidR="00094095" w:rsidRPr="002F2D60" w:rsidTr="002F2D60">
        <w:trPr>
          <w:trHeight w:val="993"/>
        </w:trPr>
        <w:tc>
          <w:tcPr>
            <w:tcW w:w="1809" w:type="dxa"/>
            <w:shd w:val="clear" w:color="auto" w:fill="D9D9D9"/>
          </w:tcPr>
          <w:p w:rsidR="00094095" w:rsidRPr="004C5F06" w:rsidRDefault="00094095" w:rsidP="002F2D60">
            <w:pPr>
              <w:spacing w:line="500" w:lineRule="exact"/>
              <w:rPr>
                <w:rFonts w:ascii="仿宋" w:eastAsia="仿宋" w:hAnsi="仿宋"/>
                <w:sz w:val="28"/>
                <w:szCs w:val="28"/>
              </w:rPr>
            </w:pPr>
            <w:r w:rsidRPr="004C5F06">
              <w:rPr>
                <w:rFonts w:ascii="仿宋" w:eastAsia="仿宋" w:hAnsi="仿宋" w:hint="eastAsia"/>
                <w:sz w:val="28"/>
                <w:szCs w:val="28"/>
              </w:rPr>
              <w:t>交易概况（限200字内）</w:t>
            </w:r>
          </w:p>
        </w:tc>
        <w:tc>
          <w:tcPr>
            <w:tcW w:w="6949" w:type="dxa"/>
            <w:gridSpan w:val="2"/>
          </w:tcPr>
          <w:p w:rsidR="004009CA" w:rsidRPr="004009CA" w:rsidRDefault="004009CA" w:rsidP="004009CA">
            <w:pPr>
              <w:snapToGrid w:val="0"/>
              <w:rPr>
                <w:rFonts w:ascii="仿宋" w:eastAsia="仿宋" w:hAnsi="仿宋"/>
                <w:sz w:val="28"/>
                <w:szCs w:val="28"/>
              </w:rPr>
            </w:pPr>
            <w:r w:rsidRPr="004009CA">
              <w:rPr>
                <w:rFonts w:ascii="仿宋" w:eastAsia="仿宋" w:hAnsi="仿宋" w:hint="eastAsia"/>
                <w:sz w:val="28"/>
                <w:szCs w:val="28"/>
              </w:rPr>
              <w:t>本次申报涉及阿布扎比上市公司国际石油投资公司和阿布扎比上市公司穆巴达拉拟进行的合并。</w:t>
            </w:r>
          </w:p>
          <w:p w:rsidR="004009CA" w:rsidRPr="004009CA" w:rsidRDefault="004009CA" w:rsidP="004009CA">
            <w:pPr>
              <w:snapToGrid w:val="0"/>
              <w:rPr>
                <w:rFonts w:ascii="仿宋" w:eastAsia="仿宋" w:hAnsi="仿宋"/>
                <w:sz w:val="28"/>
                <w:szCs w:val="28"/>
              </w:rPr>
            </w:pPr>
          </w:p>
          <w:p w:rsidR="004009CA" w:rsidRPr="004C5F06" w:rsidRDefault="004009CA" w:rsidP="003673E0">
            <w:pPr>
              <w:widowControl/>
              <w:snapToGrid w:val="0"/>
              <w:rPr>
                <w:rFonts w:ascii="仿宋" w:eastAsia="仿宋" w:hAnsi="仿宋"/>
                <w:sz w:val="28"/>
                <w:szCs w:val="28"/>
              </w:rPr>
            </w:pPr>
            <w:r w:rsidRPr="004009CA">
              <w:rPr>
                <w:rFonts w:ascii="仿宋" w:eastAsia="仿宋" w:hAnsi="仿宋" w:hint="eastAsia"/>
                <w:sz w:val="28"/>
                <w:szCs w:val="28"/>
              </w:rPr>
              <w:t>国际石油投资公司和穆巴达拉</w:t>
            </w:r>
            <w:r w:rsidR="003673E0">
              <w:rPr>
                <w:rFonts w:ascii="仿宋" w:eastAsia="仿宋" w:hAnsi="仿宋" w:hint="eastAsia"/>
                <w:sz w:val="28"/>
                <w:szCs w:val="28"/>
              </w:rPr>
              <w:t>均为阿布扎比酋长国政府控制的投资公司，双方根据阿布扎比酋长国政府的决议进行</w:t>
            </w:r>
            <w:r>
              <w:rPr>
                <w:rFonts w:ascii="仿宋" w:eastAsia="仿宋" w:hAnsi="仿宋" w:hint="eastAsia"/>
                <w:sz w:val="28"/>
                <w:szCs w:val="28"/>
              </w:rPr>
              <w:t>合并。</w:t>
            </w:r>
          </w:p>
        </w:tc>
      </w:tr>
      <w:tr w:rsidR="00094095" w:rsidRPr="002F2D60" w:rsidTr="002F2D60">
        <w:trPr>
          <w:trHeight w:val="468"/>
        </w:trPr>
        <w:tc>
          <w:tcPr>
            <w:tcW w:w="1809" w:type="dxa"/>
            <w:vMerge w:val="restart"/>
            <w:shd w:val="clear" w:color="auto" w:fill="D9D9D9"/>
          </w:tcPr>
          <w:p w:rsidR="00094095" w:rsidRPr="004C5F06" w:rsidRDefault="00094095" w:rsidP="002F2D60">
            <w:pPr>
              <w:spacing w:line="500" w:lineRule="exact"/>
              <w:rPr>
                <w:rFonts w:ascii="仿宋" w:eastAsia="仿宋" w:hAnsi="仿宋"/>
                <w:sz w:val="28"/>
                <w:szCs w:val="28"/>
              </w:rPr>
            </w:pPr>
            <w:r w:rsidRPr="004C5F06">
              <w:rPr>
                <w:rFonts w:ascii="仿宋" w:eastAsia="仿宋" w:hAnsi="仿宋" w:hint="eastAsia"/>
                <w:sz w:val="28"/>
                <w:szCs w:val="28"/>
              </w:rPr>
              <w:t>参与集中的经营者简介</w:t>
            </w:r>
          </w:p>
        </w:tc>
        <w:tc>
          <w:tcPr>
            <w:tcW w:w="1796" w:type="dxa"/>
          </w:tcPr>
          <w:p w:rsidR="00094095" w:rsidRPr="004C5F06" w:rsidRDefault="00094095" w:rsidP="002F2D60">
            <w:pPr>
              <w:spacing w:line="500" w:lineRule="exact"/>
              <w:rPr>
                <w:rFonts w:ascii="仿宋" w:eastAsia="仿宋" w:hAnsi="仿宋"/>
                <w:sz w:val="28"/>
                <w:szCs w:val="28"/>
              </w:rPr>
            </w:pPr>
            <w:r w:rsidRPr="004C5F06">
              <w:rPr>
                <w:rFonts w:ascii="仿宋" w:eastAsia="仿宋" w:hAnsi="仿宋" w:hint="eastAsia"/>
                <w:sz w:val="28"/>
                <w:szCs w:val="28"/>
              </w:rPr>
              <w:t>1、</w:t>
            </w:r>
            <w:r w:rsidR="004009CA" w:rsidRPr="004009CA">
              <w:rPr>
                <w:rFonts w:ascii="仿宋" w:eastAsia="仿宋" w:hAnsi="仿宋" w:hint="eastAsia"/>
                <w:sz w:val="28"/>
                <w:szCs w:val="28"/>
              </w:rPr>
              <w:t>穆巴达拉</w:t>
            </w:r>
          </w:p>
        </w:tc>
        <w:tc>
          <w:tcPr>
            <w:tcW w:w="5153" w:type="dxa"/>
          </w:tcPr>
          <w:p w:rsidR="004009CA" w:rsidRPr="004009CA" w:rsidRDefault="004009CA" w:rsidP="004009CA">
            <w:pPr>
              <w:widowControl/>
              <w:snapToGrid w:val="0"/>
              <w:rPr>
                <w:rFonts w:ascii="仿宋" w:eastAsia="仿宋" w:hAnsi="仿宋"/>
                <w:sz w:val="28"/>
                <w:szCs w:val="28"/>
              </w:rPr>
            </w:pPr>
            <w:r w:rsidRPr="004009CA">
              <w:rPr>
                <w:rFonts w:ascii="仿宋" w:eastAsia="仿宋" w:hAnsi="仿宋" w:hint="eastAsia"/>
                <w:sz w:val="28"/>
                <w:szCs w:val="28"/>
              </w:rPr>
              <w:t>穆巴达拉</w:t>
            </w:r>
            <w:r w:rsidR="003673E0">
              <w:rPr>
                <w:rFonts w:ascii="仿宋" w:eastAsia="仿宋" w:hAnsi="仿宋" w:hint="eastAsia"/>
                <w:sz w:val="28"/>
                <w:szCs w:val="28"/>
              </w:rPr>
              <w:t>是</w:t>
            </w:r>
            <w:r w:rsidRPr="004009CA">
              <w:rPr>
                <w:rFonts w:ascii="仿宋" w:eastAsia="仿宋" w:hAnsi="仿宋" w:hint="eastAsia"/>
                <w:sz w:val="28"/>
                <w:szCs w:val="28"/>
              </w:rPr>
              <w:t>一家</w:t>
            </w:r>
            <w:r w:rsidR="003673E0">
              <w:rPr>
                <w:rFonts w:ascii="仿宋" w:eastAsia="仿宋" w:hAnsi="仿宋" w:hint="eastAsia"/>
                <w:sz w:val="28"/>
                <w:szCs w:val="28"/>
              </w:rPr>
              <w:t>由阿布扎比酋长国政府独资拥有的</w:t>
            </w:r>
            <w:r w:rsidRPr="004009CA">
              <w:rPr>
                <w:rFonts w:ascii="仿宋" w:eastAsia="仿宋" w:hAnsi="仿宋" w:hint="eastAsia"/>
                <w:sz w:val="28"/>
                <w:szCs w:val="28"/>
              </w:rPr>
              <w:t>公共股份公司，主要从事对各行业的投资和开发业务。</w:t>
            </w:r>
          </w:p>
          <w:p w:rsidR="00094095" w:rsidRPr="004009CA" w:rsidRDefault="004009CA" w:rsidP="004009CA">
            <w:pPr>
              <w:widowControl/>
              <w:snapToGrid w:val="0"/>
              <w:rPr>
                <w:rFonts w:ascii="仿宋" w:eastAsia="仿宋" w:hAnsi="仿宋"/>
                <w:sz w:val="28"/>
                <w:szCs w:val="28"/>
              </w:rPr>
            </w:pPr>
            <w:r w:rsidRPr="004009CA">
              <w:rPr>
                <w:rFonts w:ascii="仿宋" w:eastAsia="仿宋" w:hAnsi="仿宋" w:hint="eastAsia"/>
                <w:sz w:val="28"/>
                <w:szCs w:val="28"/>
              </w:rPr>
              <w:t>穆巴达拉主要投资能源、公共设施、房地产、公私合作制项目、航空航天、基础工业和服务性行业等行业。</w:t>
            </w:r>
          </w:p>
        </w:tc>
      </w:tr>
      <w:tr w:rsidR="00094095" w:rsidRPr="002F2D60" w:rsidTr="002F2D60">
        <w:trPr>
          <w:trHeight w:val="404"/>
        </w:trPr>
        <w:tc>
          <w:tcPr>
            <w:tcW w:w="1809" w:type="dxa"/>
            <w:vMerge/>
            <w:shd w:val="clear" w:color="auto" w:fill="D9D9D9"/>
          </w:tcPr>
          <w:p w:rsidR="00094095" w:rsidRPr="004C5F06" w:rsidRDefault="00094095" w:rsidP="002F2D60">
            <w:pPr>
              <w:spacing w:line="500" w:lineRule="exact"/>
              <w:rPr>
                <w:rFonts w:ascii="仿宋" w:eastAsia="仿宋" w:hAnsi="仿宋"/>
                <w:sz w:val="28"/>
                <w:szCs w:val="28"/>
              </w:rPr>
            </w:pPr>
          </w:p>
        </w:tc>
        <w:tc>
          <w:tcPr>
            <w:tcW w:w="1796" w:type="dxa"/>
          </w:tcPr>
          <w:p w:rsidR="00094095" w:rsidRPr="004C5F06" w:rsidRDefault="00094095" w:rsidP="002F2D60">
            <w:pPr>
              <w:spacing w:line="500" w:lineRule="exact"/>
              <w:rPr>
                <w:rFonts w:ascii="仿宋" w:eastAsia="仿宋" w:hAnsi="仿宋"/>
                <w:sz w:val="28"/>
                <w:szCs w:val="28"/>
              </w:rPr>
            </w:pPr>
            <w:r w:rsidRPr="004C5F06">
              <w:rPr>
                <w:rFonts w:ascii="仿宋" w:eastAsia="仿宋" w:hAnsi="仿宋" w:hint="eastAsia"/>
                <w:sz w:val="28"/>
                <w:szCs w:val="28"/>
              </w:rPr>
              <w:t>2、</w:t>
            </w:r>
            <w:r w:rsidR="004009CA" w:rsidRPr="004009CA">
              <w:rPr>
                <w:rFonts w:ascii="仿宋" w:eastAsia="仿宋" w:hAnsi="仿宋" w:hint="eastAsia"/>
                <w:sz w:val="28"/>
                <w:szCs w:val="28"/>
              </w:rPr>
              <w:t>国际石油投资公司</w:t>
            </w:r>
          </w:p>
        </w:tc>
        <w:tc>
          <w:tcPr>
            <w:tcW w:w="5153" w:type="dxa"/>
          </w:tcPr>
          <w:p w:rsidR="00094095" w:rsidRPr="004009CA" w:rsidRDefault="004009CA" w:rsidP="003673E0">
            <w:pPr>
              <w:widowControl/>
              <w:snapToGrid w:val="0"/>
              <w:rPr>
                <w:rFonts w:ascii="仿宋" w:eastAsia="仿宋" w:hAnsi="仿宋"/>
                <w:sz w:val="28"/>
                <w:szCs w:val="28"/>
              </w:rPr>
            </w:pPr>
            <w:r w:rsidRPr="004009CA">
              <w:rPr>
                <w:rFonts w:ascii="仿宋" w:eastAsia="仿宋" w:hAnsi="仿宋" w:hint="eastAsia"/>
                <w:sz w:val="28"/>
                <w:szCs w:val="28"/>
              </w:rPr>
              <w:t>国际石油投资公司是一家</w:t>
            </w:r>
            <w:r w:rsidR="003673E0">
              <w:rPr>
                <w:rFonts w:ascii="仿宋" w:eastAsia="仿宋" w:hAnsi="仿宋" w:hint="eastAsia"/>
                <w:sz w:val="28"/>
                <w:szCs w:val="28"/>
              </w:rPr>
              <w:t>由阿布扎比酋长国政府独资拥有的</w:t>
            </w:r>
            <w:r w:rsidRPr="004009CA">
              <w:rPr>
                <w:rFonts w:ascii="仿宋" w:eastAsia="仿宋" w:hAnsi="仿宋" w:hint="eastAsia"/>
                <w:sz w:val="28"/>
                <w:szCs w:val="28"/>
              </w:rPr>
              <w:t>公共股份公司，</w:t>
            </w:r>
            <w:r w:rsidR="003673E0">
              <w:rPr>
                <w:rFonts w:ascii="仿宋" w:eastAsia="仿宋" w:hAnsi="仿宋" w:hint="eastAsia"/>
                <w:sz w:val="28"/>
                <w:szCs w:val="28"/>
              </w:rPr>
              <w:t>主要</w:t>
            </w:r>
            <w:r w:rsidRPr="004009CA">
              <w:rPr>
                <w:rFonts w:ascii="仿宋" w:eastAsia="仿宋" w:hAnsi="仿宋" w:hint="eastAsia"/>
                <w:sz w:val="28"/>
                <w:szCs w:val="28"/>
              </w:rPr>
              <w:t>在全球范围内对能源和能源相关行业进行投资。</w:t>
            </w:r>
          </w:p>
        </w:tc>
      </w:tr>
      <w:tr w:rsidR="00094095" w:rsidRPr="002F2D60" w:rsidTr="002F2D60">
        <w:trPr>
          <w:trHeight w:val="279"/>
        </w:trPr>
        <w:tc>
          <w:tcPr>
            <w:tcW w:w="1809" w:type="dxa"/>
            <w:vMerge w:val="restart"/>
            <w:shd w:val="clear" w:color="auto" w:fill="D9D9D9"/>
          </w:tcPr>
          <w:p w:rsidR="00094095" w:rsidRPr="004C5F06" w:rsidRDefault="00094095" w:rsidP="00BB2377">
            <w:pPr>
              <w:spacing w:line="500" w:lineRule="exact"/>
              <w:rPr>
                <w:rFonts w:ascii="仿宋" w:eastAsia="仿宋" w:hAnsi="仿宋"/>
                <w:sz w:val="28"/>
                <w:szCs w:val="28"/>
              </w:rPr>
            </w:pPr>
            <w:r w:rsidRPr="004C5F06">
              <w:rPr>
                <w:rFonts w:ascii="仿宋" w:eastAsia="仿宋" w:hAnsi="仿宋" w:hint="eastAsia"/>
                <w:sz w:val="28"/>
                <w:szCs w:val="28"/>
              </w:rPr>
              <w:t>简易案件理由（</w:t>
            </w:r>
            <w:r w:rsidR="005F167B" w:rsidRPr="004C5F06">
              <w:rPr>
                <w:rFonts w:ascii="仿宋" w:eastAsia="仿宋" w:hAnsi="仿宋" w:hint="eastAsia"/>
                <w:sz w:val="28"/>
                <w:szCs w:val="28"/>
              </w:rPr>
              <w:t>可以单选，也可以多选</w:t>
            </w:r>
            <w:r w:rsidRPr="004C5F06">
              <w:rPr>
                <w:rFonts w:ascii="仿宋" w:eastAsia="仿宋" w:hAnsi="仿宋" w:hint="eastAsia"/>
                <w:sz w:val="28"/>
                <w:szCs w:val="28"/>
              </w:rPr>
              <w:t>）</w:t>
            </w:r>
          </w:p>
        </w:tc>
        <w:tc>
          <w:tcPr>
            <w:tcW w:w="6949" w:type="dxa"/>
            <w:gridSpan w:val="2"/>
          </w:tcPr>
          <w:p w:rsidR="00094095" w:rsidRPr="004C5F06" w:rsidRDefault="004C5F06" w:rsidP="002F2D60">
            <w:pPr>
              <w:spacing w:line="500" w:lineRule="exact"/>
              <w:rPr>
                <w:rFonts w:ascii="仿宋" w:eastAsia="仿宋" w:hAnsi="仿宋"/>
                <w:sz w:val="28"/>
                <w:szCs w:val="28"/>
              </w:rPr>
            </w:pPr>
            <w:r w:rsidRPr="004C5F06">
              <w:rPr>
                <w:rFonts w:ascii="仿宋" w:eastAsia="仿宋" w:hAnsi="仿宋"/>
                <w:bCs/>
                <w:sz w:val="28"/>
                <w:szCs w:val="28"/>
              </w:rPr>
              <w:sym w:font="Wingdings" w:char="F0FE"/>
            </w:r>
            <w:r w:rsidR="00094095" w:rsidRPr="004C5F06">
              <w:rPr>
                <w:rFonts w:ascii="仿宋" w:eastAsia="仿宋" w:hAnsi="仿宋" w:hint="eastAsia"/>
                <w:sz w:val="28"/>
                <w:szCs w:val="28"/>
              </w:rPr>
              <w:t>1、在同一相关市场，所有参与集中的经营者所占市场份额之和小于15%。</w:t>
            </w:r>
          </w:p>
        </w:tc>
      </w:tr>
      <w:tr w:rsidR="00094095" w:rsidRPr="002F2D60" w:rsidTr="002F2D60">
        <w:trPr>
          <w:trHeight w:val="330"/>
        </w:trPr>
        <w:tc>
          <w:tcPr>
            <w:tcW w:w="1809" w:type="dxa"/>
            <w:vMerge/>
            <w:shd w:val="clear" w:color="auto" w:fill="D9D9D9"/>
          </w:tcPr>
          <w:p w:rsidR="00094095" w:rsidRPr="004C5F06" w:rsidRDefault="00094095" w:rsidP="002F2D60">
            <w:pPr>
              <w:spacing w:line="500" w:lineRule="exact"/>
              <w:rPr>
                <w:rFonts w:ascii="仿宋" w:eastAsia="仿宋" w:hAnsi="仿宋"/>
                <w:sz w:val="28"/>
                <w:szCs w:val="28"/>
              </w:rPr>
            </w:pPr>
          </w:p>
        </w:tc>
        <w:tc>
          <w:tcPr>
            <w:tcW w:w="6949" w:type="dxa"/>
            <w:gridSpan w:val="2"/>
          </w:tcPr>
          <w:p w:rsidR="00094095" w:rsidRPr="004C5F06" w:rsidRDefault="0072740D" w:rsidP="002F2D60">
            <w:pPr>
              <w:spacing w:line="500" w:lineRule="exact"/>
              <w:rPr>
                <w:rFonts w:ascii="仿宋" w:eastAsia="仿宋" w:hAnsi="仿宋"/>
                <w:sz w:val="28"/>
                <w:szCs w:val="28"/>
              </w:rPr>
            </w:pPr>
            <w:r w:rsidRPr="004C5F06">
              <w:rPr>
                <w:rFonts w:ascii="仿宋" w:eastAsia="仿宋" w:hAnsi="仿宋" w:hint="eastAsia"/>
                <w:sz w:val="28"/>
                <w:szCs w:val="28"/>
              </w:rPr>
              <w:t>□</w:t>
            </w:r>
            <w:r w:rsidR="00094095" w:rsidRPr="004C5F06">
              <w:rPr>
                <w:rFonts w:ascii="仿宋" w:eastAsia="仿宋" w:hAnsi="仿宋" w:hint="eastAsia"/>
                <w:sz w:val="28"/>
                <w:szCs w:val="28"/>
              </w:rPr>
              <w:t>2、存在上下游关系的参与集中的经营者，在上下游市场所占的市场份额均小于25%。</w:t>
            </w:r>
          </w:p>
        </w:tc>
      </w:tr>
      <w:tr w:rsidR="00094095" w:rsidRPr="002F2D60" w:rsidTr="002F2D60">
        <w:trPr>
          <w:trHeight w:val="285"/>
        </w:trPr>
        <w:tc>
          <w:tcPr>
            <w:tcW w:w="1809" w:type="dxa"/>
            <w:vMerge/>
            <w:shd w:val="clear" w:color="auto" w:fill="D9D9D9"/>
          </w:tcPr>
          <w:p w:rsidR="00094095" w:rsidRPr="004C5F06" w:rsidRDefault="00094095" w:rsidP="002F2D60">
            <w:pPr>
              <w:spacing w:line="500" w:lineRule="exact"/>
              <w:rPr>
                <w:rFonts w:ascii="仿宋" w:eastAsia="仿宋" w:hAnsi="仿宋"/>
                <w:sz w:val="28"/>
                <w:szCs w:val="28"/>
              </w:rPr>
            </w:pPr>
          </w:p>
        </w:tc>
        <w:tc>
          <w:tcPr>
            <w:tcW w:w="6949" w:type="dxa"/>
            <w:gridSpan w:val="2"/>
          </w:tcPr>
          <w:p w:rsidR="00094095" w:rsidRPr="004C5F06" w:rsidRDefault="0072740D" w:rsidP="002F2D60">
            <w:pPr>
              <w:spacing w:line="500" w:lineRule="exact"/>
              <w:rPr>
                <w:rFonts w:ascii="仿宋" w:eastAsia="仿宋" w:hAnsi="仿宋"/>
                <w:sz w:val="28"/>
                <w:szCs w:val="28"/>
              </w:rPr>
            </w:pPr>
            <w:r w:rsidRPr="004C5F06">
              <w:rPr>
                <w:rFonts w:ascii="仿宋" w:eastAsia="仿宋" w:hAnsi="仿宋" w:hint="eastAsia"/>
                <w:sz w:val="28"/>
                <w:szCs w:val="28"/>
              </w:rPr>
              <w:t>□</w:t>
            </w:r>
            <w:r w:rsidR="00094095" w:rsidRPr="004C5F06">
              <w:rPr>
                <w:rFonts w:ascii="仿宋" w:eastAsia="仿宋" w:hAnsi="仿宋" w:hint="eastAsia"/>
                <w:sz w:val="28"/>
                <w:szCs w:val="28"/>
              </w:rPr>
              <w:t>3、不在同一相关市场、也不存在上下游关系的参与集中的经营者，在与交易有关的每个市场所占的份额均小于25%。</w:t>
            </w:r>
          </w:p>
        </w:tc>
      </w:tr>
      <w:tr w:rsidR="00094095" w:rsidRPr="002F2D60" w:rsidTr="002F2D60">
        <w:trPr>
          <w:trHeight w:val="870"/>
        </w:trPr>
        <w:tc>
          <w:tcPr>
            <w:tcW w:w="1809" w:type="dxa"/>
            <w:vMerge/>
            <w:shd w:val="clear" w:color="auto" w:fill="D9D9D9"/>
          </w:tcPr>
          <w:p w:rsidR="00094095" w:rsidRPr="004C5F06" w:rsidRDefault="00094095" w:rsidP="002F2D60">
            <w:pPr>
              <w:spacing w:line="500" w:lineRule="exact"/>
              <w:rPr>
                <w:rFonts w:ascii="仿宋" w:eastAsia="仿宋" w:hAnsi="仿宋"/>
                <w:sz w:val="28"/>
                <w:szCs w:val="28"/>
              </w:rPr>
            </w:pPr>
          </w:p>
        </w:tc>
        <w:tc>
          <w:tcPr>
            <w:tcW w:w="6949" w:type="dxa"/>
            <w:gridSpan w:val="2"/>
          </w:tcPr>
          <w:p w:rsidR="00094095" w:rsidRPr="004C5F06" w:rsidRDefault="00094095" w:rsidP="002F2D60">
            <w:pPr>
              <w:spacing w:line="500" w:lineRule="exact"/>
              <w:rPr>
                <w:rFonts w:ascii="仿宋" w:eastAsia="仿宋" w:hAnsi="仿宋"/>
                <w:sz w:val="28"/>
                <w:szCs w:val="28"/>
              </w:rPr>
            </w:pPr>
            <w:r w:rsidRPr="004C5F06">
              <w:rPr>
                <w:rFonts w:ascii="仿宋" w:eastAsia="仿宋" w:hAnsi="仿宋" w:hint="eastAsia"/>
                <w:sz w:val="28"/>
                <w:szCs w:val="28"/>
              </w:rPr>
              <w:t>□4、参与集中的经营者在中国境外设立合营企业，合营企业不在中国境内从事经济活动。</w:t>
            </w:r>
          </w:p>
        </w:tc>
      </w:tr>
      <w:tr w:rsidR="00094095" w:rsidRPr="002F2D60" w:rsidTr="002F2D60">
        <w:trPr>
          <w:trHeight w:val="264"/>
        </w:trPr>
        <w:tc>
          <w:tcPr>
            <w:tcW w:w="1809" w:type="dxa"/>
            <w:vMerge/>
            <w:shd w:val="clear" w:color="auto" w:fill="D9D9D9"/>
          </w:tcPr>
          <w:p w:rsidR="00094095" w:rsidRPr="004C5F06" w:rsidRDefault="00094095" w:rsidP="002F2D60">
            <w:pPr>
              <w:spacing w:line="500" w:lineRule="exact"/>
              <w:rPr>
                <w:rFonts w:ascii="仿宋" w:eastAsia="仿宋" w:hAnsi="仿宋"/>
                <w:sz w:val="28"/>
                <w:szCs w:val="28"/>
              </w:rPr>
            </w:pPr>
          </w:p>
        </w:tc>
        <w:tc>
          <w:tcPr>
            <w:tcW w:w="6949" w:type="dxa"/>
            <w:gridSpan w:val="2"/>
          </w:tcPr>
          <w:p w:rsidR="00094095" w:rsidRPr="004C5F06" w:rsidRDefault="00094095" w:rsidP="002F2D60">
            <w:pPr>
              <w:spacing w:line="500" w:lineRule="exact"/>
              <w:rPr>
                <w:rFonts w:ascii="仿宋" w:eastAsia="仿宋" w:hAnsi="仿宋"/>
                <w:sz w:val="28"/>
                <w:szCs w:val="28"/>
              </w:rPr>
            </w:pPr>
            <w:r w:rsidRPr="004C5F06">
              <w:rPr>
                <w:rFonts w:ascii="仿宋" w:eastAsia="仿宋" w:hAnsi="仿宋" w:hint="eastAsia"/>
                <w:sz w:val="28"/>
                <w:szCs w:val="28"/>
              </w:rPr>
              <w:t>□5、参与集中的经营者收购境外企业股权或资产的，该境外企业不在中国境内从事经济活动。</w:t>
            </w:r>
          </w:p>
        </w:tc>
      </w:tr>
      <w:tr w:rsidR="00094095" w:rsidRPr="002F2D60" w:rsidTr="002F2D60">
        <w:trPr>
          <w:trHeight w:val="345"/>
        </w:trPr>
        <w:tc>
          <w:tcPr>
            <w:tcW w:w="1809" w:type="dxa"/>
            <w:vMerge/>
            <w:shd w:val="clear" w:color="auto" w:fill="D9D9D9"/>
          </w:tcPr>
          <w:p w:rsidR="00094095" w:rsidRPr="004C5F06" w:rsidRDefault="00094095" w:rsidP="002F2D60">
            <w:pPr>
              <w:spacing w:line="500" w:lineRule="exact"/>
              <w:rPr>
                <w:rFonts w:ascii="仿宋" w:eastAsia="仿宋" w:hAnsi="仿宋"/>
                <w:sz w:val="28"/>
                <w:szCs w:val="28"/>
              </w:rPr>
            </w:pPr>
          </w:p>
        </w:tc>
        <w:tc>
          <w:tcPr>
            <w:tcW w:w="6949" w:type="dxa"/>
            <w:gridSpan w:val="2"/>
          </w:tcPr>
          <w:p w:rsidR="00094095" w:rsidRPr="004C5F06" w:rsidRDefault="00094095" w:rsidP="002F2D60">
            <w:pPr>
              <w:spacing w:line="500" w:lineRule="exact"/>
              <w:rPr>
                <w:rFonts w:ascii="仿宋" w:eastAsia="仿宋" w:hAnsi="仿宋"/>
                <w:sz w:val="28"/>
                <w:szCs w:val="28"/>
              </w:rPr>
            </w:pPr>
            <w:r w:rsidRPr="004C5F06">
              <w:rPr>
                <w:rFonts w:ascii="仿宋" w:eastAsia="仿宋" w:hAnsi="仿宋" w:hint="eastAsia"/>
                <w:sz w:val="28"/>
                <w:szCs w:val="28"/>
              </w:rPr>
              <w:t>□6、由两个以上的经营者共同控制的合营企业，通过集中被其中一个或一个以上经营者控制。</w:t>
            </w:r>
          </w:p>
        </w:tc>
      </w:tr>
      <w:tr w:rsidR="00094095" w:rsidRPr="002F2D60" w:rsidTr="002F2D60">
        <w:tc>
          <w:tcPr>
            <w:tcW w:w="1809" w:type="dxa"/>
            <w:shd w:val="clear" w:color="auto" w:fill="D9D9D9"/>
          </w:tcPr>
          <w:p w:rsidR="00094095" w:rsidRPr="004C5F06" w:rsidRDefault="00094095" w:rsidP="002F2D60">
            <w:pPr>
              <w:spacing w:line="500" w:lineRule="exact"/>
              <w:rPr>
                <w:rFonts w:ascii="仿宋" w:eastAsia="仿宋" w:hAnsi="仿宋"/>
                <w:sz w:val="28"/>
                <w:szCs w:val="28"/>
              </w:rPr>
            </w:pPr>
            <w:r w:rsidRPr="004C5F06">
              <w:rPr>
                <w:rFonts w:ascii="仿宋" w:eastAsia="仿宋" w:hAnsi="仿宋" w:hint="eastAsia"/>
                <w:sz w:val="28"/>
                <w:szCs w:val="28"/>
              </w:rPr>
              <w:t>备注</w:t>
            </w:r>
          </w:p>
        </w:tc>
        <w:tc>
          <w:tcPr>
            <w:tcW w:w="6949" w:type="dxa"/>
            <w:gridSpan w:val="2"/>
          </w:tcPr>
          <w:p w:rsidR="004009CA" w:rsidRDefault="004C5F06" w:rsidP="002F2D60">
            <w:pPr>
              <w:spacing w:line="500" w:lineRule="exact"/>
              <w:rPr>
                <w:rFonts w:ascii="仿宋" w:eastAsia="仿宋" w:hAnsi="仿宋"/>
                <w:sz w:val="28"/>
                <w:szCs w:val="28"/>
              </w:rPr>
            </w:pPr>
            <w:r w:rsidRPr="004C5F06">
              <w:rPr>
                <w:rFonts w:ascii="仿宋" w:eastAsia="仿宋" w:hAnsi="仿宋" w:hint="eastAsia"/>
                <w:sz w:val="28"/>
                <w:szCs w:val="28"/>
              </w:rPr>
              <w:t>相关产品市场：</w:t>
            </w:r>
            <w:r w:rsidR="004009CA">
              <w:rPr>
                <w:rFonts w:ascii="仿宋" w:eastAsia="仿宋" w:hAnsi="仿宋" w:hint="eastAsia"/>
                <w:sz w:val="28"/>
                <w:szCs w:val="28"/>
              </w:rPr>
              <w:t>石油天然气勘探市场</w:t>
            </w:r>
          </w:p>
          <w:p w:rsidR="004C5F06" w:rsidRPr="004C5F06" w:rsidRDefault="00265781" w:rsidP="002F2D60">
            <w:pPr>
              <w:spacing w:line="500" w:lineRule="exact"/>
              <w:rPr>
                <w:rFonts w:ascii="仿宋" w:eastAsia="仿宋" w:hAnsi="仿宋"/>
                <w:sz w:val="28"/>
                <w:szCs w:val="28"/>
              </w:rPr>
            </w:pPr>
            <w:r>
              <w:rPr>
                <w:rFonts w:ascii="仿宋" w:eastAsia="仿宋" w:hAnsi="仿宋" w:hint="eastAsia"/>
                <w:sz w:val="28"/>
                <w:szCs w:val="28"/>
              </w:rPr>
              <w:t>地理</w:t>
            </w:r>
            <w:r w:rsidR="004C5F06" w:rsidRPr="004C5F06">
              <w:rPr>
                <w:rFonts w:ascii="仿宋" w:eastAsia="仿宋" w:hAnsi="仿宋" w:hint="eastAsia"/>
                <w:sz w:val="28"/>
                <w:szCs w:val="28"/>
              </w:rPr>
              <w:t>市场：全球</w:t>
            </w:r>
          </w:p>
          <w:p w:rsidR="004C5F06" w:rsidRPr="004C5F06" w:rsidRDefault="004C5F06" w:rsidP="004009CA">
            <w:pPr>
              <w:spacing w:line="500" w:lineRule="exact"/>
              <w:rPr>
                <w:rFonts w:ascii="仿宋" w:eastAsia="仿宋" w:hAnsi="仿宋"/>
                <w:sz w:val="28"/>
                <w:szCs w:val="28"/>
              </w:rPr>
            </w:pPr>
            <w:r w:rsidRPr="004C5F06">
              <w:rPr>
                <w:rFonts w:ascii="仿宋" w:eastAsia="仿宋" w:hAnsi="仿宋" w:hint="eastAsia"/>
                <w:sz w:val="28"/>
                <w:szCs w:val="28"/>
              </w:rPr>
              <w:t>合并市场份额（2015年）：</w:t>
            </w:r>
            <w:r w:rsidR="004009CA">
              <w:rPr>
                <w:rFonts w:ascii="仿宋" w:eastAsia="仿宋" w:hAnsi="仿宋" w:hint="eastAsia"/>
                <w:sz w:val="28"/>
                <w:szCs w:val="28"/>
                <w:lang w:val="en-GB"/>
              </w:rPr>
              <w:t>[0-</w:t>
            </w:r>
            <w:r w:rsidR="004D20EB">
              <w:rPr>
                <w:rFonts w:ascii="仿宋" w:eastAsia="仿宋" w:hAnsi="仿宋" w:hint="eastAsia"/>
                <w:sz w:val="28"/>
                <w:szCs w:val="28"/>
                <w:lang w:val="en-GB"/>
              </w:rPr>
              <w:t>2</w:t>
            </w:r>
            <w:bookmarkStart w:id="0" w:name="_GoBack"/>
            <w:bookmarkEnd w:id="0"/>
            <w:r w:rsidRPr="004C5F06">
              <w:rPr>
                <w:rFonts w:ascii="仿宋" w:eastAsia="仿宋" w:hAnsi="仿宋" w:hint="eastAsia"/>
                <w:sz w:val="28"/>
                <w:szCs w:val="28"/>
                <w:lang w:val="en-GB"/>
              </w:rPr>
              <w:t>%];</w:t>
            </w:r>
          </w:p>
        </w:tc>
      </w:tr>
    </w:tbl>
    <w:p w:rsidR="00BB2377" w:rsidRDefault="00BB2377" w:rsidP="00BB2377">
      <w:pPr>
        <w:snapToGrid w:val="0"/>
        <w:spacing w:line="240" w:lineRule="exact"/>
        <w:jc w:val="left"/>
        <w:rPr>
          <w:rFonts w:ascii="楷体_GB2312" w:eastAsia="楷体_GB2312" w:hAnsi="宋体"/>
          <w:sz w:val="24"/>
          <w:szCs w:val="24"/>
        </w:rPr>
      </w:pPr>
    </w:p>
    <w:p w:rsidR="005F167B" w:rsidRPr="00BB2377" w:rsidRDefault="005F167B" w:rsidP="00BB2377">
      <w:pPr>
        <w:snapToGrid w:val="0"/>
        <w:spacing w:line="240" w:lineRule="exact"/>
        <w:jc w:val="left"/>
        <w:rPr>
          <w:rFonts w:ascii="楷体_GB2312" w:eastAsia="楷体_GB2312" w:hAnsi="宋体"/>
          <w:sz w:val="24"/>
          <w:szCs w:val="24"/>
        </w:rPr>
      </w:pPr>
      <w:r w:rsidRPr="00BB2377">
        <w:rPr>
          <w:rFonts w:ascii="楷体_GB2312" w:eastAsia="楷体_GB2312" w:hAnsi="宋体" w:hint="eastAsia"/>
          <w:sz w:val="24"/>
          <w:szCs w:val="24"/>
        </w:rPr>
        <w:t>注解：</w:t>
      </w:r>
    </w:p>
    <w:p w:rsidR="005F167B" w:rsidRPr="00BB2377" w:rsidRDefault="005F167B" w:rsidP="00BB2377">
      <w:pPr>
        <w:snapToGrid w:val="0"/>
        <w:spacing w:line="360" w:lineRule="auto"/>
        <w:ind w:firstLineChars="200" w:firstLine="480"/>
        <w:jc w:val="left"/>
        <w:rPr>
          <w:rFonts w:ascii="楷体_GB2312" w:eastAsia="楷体_GB2312" w:hAnsi="宋体"/>
          <w:sz w:val="24"/>
          <w:szCs w:val="24"/>
        </w:rPr>
      </w:pPr>
      <w:r w:rsidRPr="00BB2377">
        <w:rPr>
          <w:rFonts w:ascii="楷体_GB2312" w:eastAsia="楷体_GB2312" w:hAnsi="宋体" w:hint="eastAsia"/>
          <w:sz w:val="24"/>
          <w:szCs w:val="24"/>
        </w:rPr>
        <w:t>1、申报方申请简易案件的理由是基于1-3项时，须在备注中说明界定的相关商品市场和相关地域市场（无须阐述界定理由），以及相关市场份额；市场份额可以区间形式提供，区间幅度不应超过5%。1-3项可以多选，也可单选；没有勾选的，视为本集中不涉及该类型交易。</w:t>
      </w:r>
    </w:p>
    <w:p w:rsidR="00F87C1F" w:rsidRPr="004009CA" w:rsidRDefault="005F167B" w:rsidP="004009CA">
      <w:pPr>
        <w:spacing w:line="360" w:lineRule="auto"/>
        <w:ind w:firstLineChars="200" w:firstLine="480"/>
        <w:rPr>
          <w:rFonts w:ascii="楷体_GB2312" w:eastAsia="楷体_GB2312" w:hAnsi="Times New Roman"/>
          <w:sz w:val="28"/>
          <w:szCs w:val="28"/>
        </w:rPr>
      </w:pPr>
      <w:r w:rsidRPr="00BB2377">
        <w:rPr>
          <w:rFonts w:ascii="楷体_GB2312" w:eastAsia="楷体_GB2312" w:hAnsi="宋体" w:hint="eastAsia"/>
          <w:sz w:val="24"/>
          <w:szCs w:val="24"/>
        </w:rPr>
        <w:t>2、申报方申请简易案件的理由是基于第4项、第5项时，无须在备注中说明相关市场和市场份额。</w:t>
      </w:r>
      <w:r w:rsidRPr="00BB2377">
        <w:rPr>
          <w:rFonts w:ascii="楷体_GB2312" w:eastAsia="楷体_GB2312" w:hAnsi="宋体" w:hint="eastAsia"/>
          <w:sz w:val="24"/>
          <w:szCs w:val="24"/>
        </w:rPr>
        <w:br/>
        <w:t xml:space="preserve">    3、由两个或两个以上经营者共同控制的合营企业，通过集中被其中的一个经营者控制，如果该经营者与合营企业属于同一相关市场的竞争者，则申报方在申请简易案件时，须同时勾选第1项和第6项理由，并在备注中说明界定的相关商品市场和相关地域市场（无须阐述界定理由），以及相关市场份额。市场份额可以区间形式提供，区间幅度不应超过5%。</w:t>
      </w:r>
    </w:p>
    <w:sectPr w:rsidR="00F87C1F" w:rsidRPr="004009CA" w:rsidSect="00ED21B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D0116" w:rsidRDefault="00DD0116" w:rsidP="00094095">
      <w:r>
        <w:separator/>
      </w:r>
    </w:p>
  </w:endnote>
  <w:endnote w:type="continuationSeparator" w:id="0">
    <w:p w:rsidR="00DD0116" w:rsidRDefault="00DD0116" w:rsidP="000940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仿宋_GB2312">
    <w:altName w:val="仿宋"/>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楷体_GB2312">
    <w:altName w:val="楷体"/>
    <w:charset w:val="86"/>
    <w:family w:val="modern"/>
    <w:pitch w:val="fixed"/>
    <w:sig w:usb0="00000001"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D0116" w:rsidRDefault="00DD0116" w:rsidP="00094095">
      <w:r>
        <w:separator/>
      </w:r>
    </w:p>
  </w:footnote>
  <w:footnote w:type="continuationSeparator" w:id="0">
    <w:p w:rsidR="00DD0116" w:rsidRDefault="00DD0116" w:rsidP="0009409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A9975E3"/>
    <w:multiLevelType w:val="hybridMultilevel"/>
    <w:tmpl w:val="97368C8A"/>
    <w:lvl w:ilvl="0" w:tplc="4106EB86">
      <w:start w:val="1"/>
      <w:numFmt w:val="bullet"/>
      <w:lvlText w:val=""/>
      <w:lvlJc w:val="left"/>
      <w:pPr>
        <w:ind w:left="420" w:hanging="420"/>
      </w:pPr>
      <w:rPr>
        <w:rFonts w:ascii="Wingdings" w:hAnsi="Wingdings" w:hint="default"/>
      </w:rPr>
    </w:lvl>
    <w:lvl w:ilvl="1" w:tplc="04090003">
      <w:start w:val="1"/>
      <w:numFmt w:val="decimal"/>
      <w:lvlText w:val="%2."/>
      <w:lvlJc w:val="left"/>
      <w:pPr>
        <w:tabs>
          <w:tab w:val="num" w:pos="1440"/>
        </w:tabs>
        <w:ind w:left="1440" w:hanging="360"/>
      </w:pPr>
      <w:rPr>
        <w:rFonts w:cs="Times New Roman"/>
      </w:rPr>
    </w:lvl>
    <w:lvl w:ilvl="2" w:tplc="04090005">
      <w:start w:val="1"/>
      <w:numFmt w:val="decimal"/>
      <w:lvlText w:val="%3."/>
      <w:lvlJc w:val="left"/>
      <w:pPr>
        <w:tabs>
          <w:tab w:val="num" w:pos="2160"/>
        </w:tabs>
        <w:ind w:left="2160" w:hanging="360"/>
      </w:pPr>
      <w:rPr>
        <w:rFonts w:cs="Times New Roman"/>
      </w:rPr>
    </w:lvl>
    <w:lvl w:ilvl="3" w:tplc="04090001">
      <w:start w:val="1"/>
      <w:numFmt w:val="decimal"/>
      <w:lvlText w:val="%4."/>
      <w:lvlJc w:val="left"/>
      <w:pPr>
        <w:tabs>
          <w:tab w:val="num" w:pos="2880"/>
        </w:tabs>
        <w:ind w:left="2880" w:hanging="360"/>
      </w:pPr>
      <w:rPr>
        <w:rFonts w:cs="Times New Roman"/>
      </w:rPr>
    </w:lvl>
    <w:lvl w:ilvl="4" w:tplc="04090003">
      <w:start w:val="1"/>
      <w:numFmt w:val="decimal"/>
      <w:lvlText w:val="%5."/>
      <w:lvlJc w:val="left"/>
      <w:pPr>
        <w:tabs>
          <w:tab w:val="num" w:pos="3600"/>
        </w:tabs>
        <w:ind w:left="3600" w:hanging="360"/>
      </w:pPr>
      <w:rPr>
        <w:rFonts w:cs="Times New Roman"/>
      </w:rPr>
    </w:lvl>
    <w:lvl w:ilvl="5" w:tplc="04090005">
      <w:start w:val="1"/>
      <w:numFmt w:val="decimal"/>
      <w:lvlText w:val="%6."/>
      <w:lvlJc w:val="left"/>
      <w:pPr>
        <w:tabs>
          <w:tab w:val="num" w:pos="4320"/>
        </w:tabs>
        <w:ind w:left="4320" w:hanging="360"/>
      </w:pPr>
      <w:rPr>
        <w:rFonts w:cs="Times New Roman"/>
      </w:rPr>
    </w:lvl>
    <w:lvl w:ilvl="6" w:tplc="04090001">
      <w:start w:val="1"/>
      <w:numFmt w:val="decimal"/>
      <w:lvlText w:val="%7."/>
      <w:lvlJc w:val="left"/>
      <w:pPr>
        <w:tabs>
          <w:tab w:val="num" w:pos="5040"/>
        </w:tabs>
        <w:ind w:left="5040" w:hanging="360"/>
      </w:pPr>
      <w:rPr>
        <w:rFonts w:cs="Times New Roman"/>
      </w:rPr>
    </w:lvl>
    <w:lvl w:ilvl="7" w:tplc="04090003">
      <w:start w:val="1"/>
      <w:numFmt w:val="decimal"/>
      <w:lvlText w:val="%8."/>
      <w:lvlJc w:val="left"/>
      <w:pPr>
        <w:tabs>
          <w:tab w:val="num" w:pos="5760"/>
        </w:tabs>
        <w:ind w:left="5760" w:hanging="360"/>
      </w:pPr>
      <w:rPr>
        <w:rFonts w:cs="Times New Roman"/>
      </w:rPr>
    </w:lvl>
    <w:lvl w:ilvl="8" w:tplc="04090005">
      <w:start w:val="1"/>
      <w:numFmt w:val="decimal"/>
      <w:lvlText w:val="%9."/>
      <w:lvlJc w:val="left"/>
      <w:pPr>
        <w:tabs>
          <w:tab w:val="num" w:pos="6480"/>
        </w:tabs>
        <w:ind w:left="6480" w:hanging="360"/>
      </w:pPr>
      <w:rPr>
        <w:rFonts w:cs="Times New Roman"/>
      </w:rPr>
    </w:lvl>
  </w:abstractNum>
  <w:abstractNum w:abstractNumId="1">
    <w:nsid w:val="69A23F68"/>
    <w:multiLevelType w:val="hybridMultilevel"/>
    <w:tmpl w:val="75EAF49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94095"/>
    <w:rsid w:val="00094095"/>
    <w:rsid w:val="000A31E4"/>
    <w:rsid w:val="00245776"/>
    <w:rsid w:val="00265781"/>
    <w:rsid w:val="002F2D60"/>
    <w:rsid w:val="00307976"/>
    <w:rsid w:val="003673E0"/>
    <w:rsid w:val="004009CA"/>
    <w:rsid w:val="00462174"/>
    <w:rsid w:val="004C5F06"/>
    <w:rsid w:val="004D20EB"/>
    <w:rsid w:val="005F167B"/>
    <w:rsid w:val="00601E54"/>
    <w:rsid w:val="0072740D"/>
    <w:rsid w:val="00791F81"/>
    <w:rsid w:val="00873B5F"/>
    <w:rsid w:val="008E3433"/>
    <w:rsid w:val="009376DA"/>
    <w:rsid w:val="00BA0750"/>
    <w:rsid w:val="00BB2377"/>
    <w:rsid w:val="00C9068E"/>
    <w:rsid w:val="00CD629A"/>
    <w:rsid w:val="00D21777"/>
    <w:rsid w:val="00DD0116"/>
    <w:rsid w:val="00ED21B1"/>
    <w:rsid w:val="00F36249"/>
    <w:rsid w:val="00F87C1F"/>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宋体" w:hAnsi="Calibri"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94095"/>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09409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4">
    <w:name w:val="endnote text"/>
    <w:basedOn w:val="a"/>
    <w:link w:val="Char"/>
    <w:uiPriority w:val="99"/>
    <w:semiHidden/>
    <w:unhideWhenUsed/>
    <w:rsid w:val="00094095"/>
    <w:pPr>
      <w:snapToGrid w:val="0"/>
      <w:jc w:val="left"/>
    </w:pPr>
  </w:style>
  <w:style w:type="character" w:customStyle="1" w:styleId="Char">
    <w:name w:val="尾注文本 Char"/>
    <w:basedOn w:val="a0"/>
    <w:link w:val="a4"/>
    <w:uiPriority w:val="99"/>
    <w:semiHidden/>
    <w:rsid w:val="00094095"/>
  </w:style>
  <w:style w:type="character" w:styleId="a5">
    <w:name w:val="endnote reference"/>
    <w:uiPriority w:val="99"/>
    <w:semiHidden/>
    <w:unhideWhenUsed/>
    <w:rsid w:val="00094095"/>
    <w:rPr>
      <w:vertAlign w:val="superscript"/>
    </w:rPr>
  </w:style>
  <w:style w:type="paragraph" w:styleId="a6">
    <w:name w:val="header"/>
    <w:basedOn w:val="a"/>
    <w:link w:val="Char0"/>
    <w:uiPriority w:val="99"/>
    <w:semiHidden/>
    <w:unhideWhenUsed/>
    <w:rsid w:val="00D21777"/>
    <w:pPr>
      <w:pBdr>
        <w:bottom w:val="single" w:sz="6" w:space="1" w:color="auto"/>
      </w:pBdr>
      <w:tabs>
        <w:tab w:val="center" w:pos="4153"/>
        <w:tab w:val="right" w:pos="8306"/>
      </w:tabs>
      <w:snapToGrid w:val="0"/>
      <w:jc w:val="center"/>
    </w:pPr>
    <w:rPr>
      <w:kern w:val="0"/>
      <w:sz w:val="18"/>
      <w:szCs w:val="18"/>
    </w:rPr>
  </w:style>
  <w:style w:type="character" w:customStyle="1" w:styleId="Char0">
    <w:name w:val="页眉 Char"/>
    <w:link w:val="a6"/>
    <w:uiPriority w:val="99"/>
    <w:semiHidden/>
    <w:rsid w:val="00D21777"/>
    <w:rPr>
      <w:sz w:val="18"/>
      <w:szCs w:val="18"/>
    </w:rPr>
  </w:style>
  <w:style w:type="paragraph" w:styleId="a7">
    <w:name w:val="footer"/>
    <w:basedOn w:val="a"/>
    <w:link w:val="Char1"/>
    <w:uiPriority w:val="99"/>
    <w:semiHidden/>
    <w:unhideWhenUsed/>
    <w:rsid w:val="00D21777"/>
    <w:pPr>
      <w:tabs>
        <w:tab w:val="center" w:pos="4153"/>
        <w:tab w:val="right" w:pos="8306"/>
      </w:tabs>
      <w:snapToGrid w:val="0"/>
      <w:jc w:val="left"/>
    </w:pPr>
    <w:rPr>
      <w:kern w:val="0"/>
      <w:sz w:val="18"/>
      <w:szCs w:val="18"/>
    </w:rPr>
  </w:style>
  <w:style w:type="character" w:customStyle="1" w:styleId="Char1">
    <w:name w:val="页脚 Char"/>
    <w:link w:val="a7"/>
    <w:uiPriority w:val="99"/>
    <w:semiHidden/>
    <w:rsid w:val="00D21777"/>
    <w:rPr>
      <w:sz w:val="18"/>
      <w:szCs w:val="18"/>
    </w:rPr>
  </w:style>
  <w:style w:type="paragraph" w:styleId="a8">
    <w:name w:val="Balloon Text"/>
    <w:basedOn w:val="a"/>
    <w:link w:val="Char2"/>
    <w:uiPriority w:val="99"/>
    <w:semiHidden/>
    <w:unhideWhenUsed/>
    <w:rsid w:val="003673E0"/>
    <w:rPr>
      <w:rFonts w:ascii="Tahoma" w:hAnsi="Tahoma" w:cs="Tahoma"/>
      <w:sz w:val="16"/>
      <w:szCs w:val="16"/>
    </w:rPr>
  </w:style>
  <w:style w:type="character" w:customStyle="1" w:styleId="Char2">
    <w:name w:val="批注框文本 Char"/>
    <w:basedOn w:val="a0"/>
    <w:link w:val="a8"/>
    <w:uiPriority w:val="99"/>
    <w:semiHidden/>
    <w:rsid w:val="003673E0"/>
    <w:rPr>
      <w:rFonts w:ascii="Tahoma" w:hAnsi="Tahoma" w:cs="Tahoma"/>
      <w:kern w:val="2"/>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宋体" w:hAnsi="Calibri"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94095"/>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09409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4">
    <w:name w:val="endnote text"/>
    <w:basedOn w:val="a"/>
    <w:link w:val="Char"/>
    <w:uiPriority w:val="99"/>
    <w:semiHidden/>
    <w:unhideWhenUsed/>
    <w:rsid w:val="00094095"/>
    <w:pPr>
      <w:snapToGrid w:val="0"/>
      <w:jc w:val="left"/>
    </w:pPr>
  </w:style>
  <w:style w:type="character" w:customStyle="1" w:styleId="Char">
    <w:name w:val="尾注文本 Char"/>
    <w:basedOn w:val="a0"/>
    <w:link w:val="a4"/>
    <w:uiPriority w:val="99"/>
    <w:semiHidden/>
    <w:rsid w:val="00094095"/>
  </w:style>
  <w:style w:type="character" w:styleId="a5">
    <w:name w:val="endnote reference"/>
    <w:uiPriority w:val="99"/>
    <w:semiHidden/>
    <w:unhideWhenUsed/>
    <w:rsid w:val="00094095"/>
    <w:rPr>
      <w:vertAlign w:val="superscript"/>
    </w:rPr>
  </w:style>
  <w:style w:type="paragraph" w:styleId="a6">
    <w:name w:val="header"/>
    <w:basedOn w:val="a"/>
    <w:link w:val="Char0"/>
    <w:uiPriority w:val="99"/>
    <w:semiHidden/>
    <w:unhideWhenUsed/>
    <w:rsid w:val="00D21777"/>
    <w:pPr>
      <w:pBdr>
        <w:bottom w:val="single" w:sz="6" w:space="1" w:color="auto"/>
      </w:pBdr>
      <w:tabs>
        <w:tab w:val="center" w:pos="4153"/>
        <w:tab w:val="right" w:pos="8306"/>
      </w:tabs>
      <w:snapToGrid w:val="0"/>
      <w:jc w:val="center"/>
    </w:pPr>
    <w:rPr>
      <w:kern w:val="0"/>
      <w:sz w:val="18"/>
      <w:szCs w:val="18"/>
    </w:rPr>
  </w:style>
  <w:style w:type="character" w:customStyle="1" w:styleId="Char0">
    <w:name w:val="页眉 Char"/>
    <w:link w:val="a6"/>
    <w:uiPriority w:val="99"/>
    <w:semiHidden/>
    <w:rsid w:val="00D21777"/>
    <w:rPr>
      <w:sz w:val="18"/>
      <w:szCs w:val="18"/>
    </w:rPr>
  </w:style>
  <w:style w:type="paragraph" w:styleId="a7">
    <w:name w:val="footer"/>
    <w:basedOn w:val="a"/>
    <w:link w:val="Char1"/>
    <w:uiPriority w:val="99"/>
    <w:semiHidden/>
    <w:unhideWhenUsed/>
    <w:rsid w:val="00D21777"/>
    <w:pPr>
      <w:tabs>
        <w:tab w:val="center" w:pos="4153"/>
        <w:tab w:val="right" w:pos="8306"/>
      </w:tabs>
      <w:snapToGrid w:val="0"/>
      <w:jc w:val="left"/>
    </w:pPr>
    <w:rPr>
      <w:kern w:val="0"/>
      <w:sz w:val="18"/>
      <w:szCs w:val="18"/>
    </w:rPr>
  </w:style>
  <w:style w:type="character" w:customStyle="1" w:styleId="Char1">
    <w:name w:val="页脚 Char"/>
    <w:link w:val="a7"/>
    <w:uiPriority w:val="99"/>
    <w:semiHidden/>
    <w:rsid w:val="00D21777"/>
    <w:rPr>
      <w:sz w:val="18"/>
      <w:szCs w:val="18"/>
    </w:rPr>
  </w:style>
  <w:style w:type="paragraph" w:styleId="a8">
    <w:name w:val="Balloon Text"/>
    <w:basedOn w:val="a"/>
    <w:link w:val="Char2"/>
    <w:uiPriority w:val="99"/>
    <w:semiHidden/>
    <w:unhideWhenUsed/>
    <w:rsid w:val="003673E0"/>
    <w:rPr>
      <w:rFonts w:ascii="Tahoma" w:hAnsi="Tahoma" w:cs="Tahoma"/>
      <w:sz w:val="16"/>
      <w:szCs w:val="16"/>
    </w:rPr>
  </w:style>
  <w:style w:type="character" w:customStyle="1" w:styleId="Char2">
    <w:name w:val="批注框文本 Char"/>
    <w:basedOn w:val="a0"/>
    <w:link w:val="a8"/>
    <w:uiPriority w:val="99"/>
    <w:semiHidden/>
    <w:rsid w:val="003673E0"/>
    <w:rPr>
      <w:rFonts w:ascii="Tahoma" w:hAnsi="Tahoma" w:cs="Tahoma"/>
      <w:kern w:val="2"/>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843DA83-3FBC-4F1B-B736-F8084885C8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152</Words>
  <Characters>873</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China</Company>
  <LinksUpToDate>false</LinksUpToDate>
  <CharactersWithSpaces>1023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T&amp;D Associates</cp:lastModifiedBy>
  <cp:revision>5</cp:revision>
  <cp:lastPrinted>2014-10-08T02:48:00Z</cp:lastPrinted>
  <dcterms:created xsi:type="dcterms:W3CDTF">2016-10-09T07:35:00Z</dcterms:created>
  <dcterms:modified xsi:type="dcterms:W3CDTF">2016-11-23T08:13:00Z</dcterms:modified>
</cp:coreProperties>
</file>