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3945C9" w:rsidRDefault="00094095" w:rsidP="00094095">
      <w:pPr>
        <w:spacing w:line="440" w:lineRule="exact"/>
        <w:jc w:val="center"/>
        <w:rPr>
          <w:rFonts w:asciiTheme="minorEastAsia" w:eastAsiaTheme="minorEastAsia" w:hAnsiTheme="minorEastAsia"/>
          <w:sz w:val="30"/>
          <w:szCs w:val="30"/>
        </w:rPr>
      </w:pPr>
      <w:r w:rsidRPr="003945C9">
        <w:rPr>
          <w:rFonts w:asciiTheme="minorEastAsia" w:eastAsiaTheme="minorEastAsia" w:hAnsiTheme="minorEastAsia" w:hint="eastAsia"/>
          <w:sz w:val="30"/>
          <w:szCs w:val="30"/>
        </w:rPr>
        <w:t>经营者集中简易案件公示表</w:t>
      </w:r>
    </w:p>
    <w:p w:rsidR="00094095" w:rsidRPr="003945C9" w:rsidRDefault="00094095" w:rsidP="00094095">
      <w:pPr>
        <w:spacing w:line="440" w:lineRule="exact"/>
        <w:rPr>
          <w:rFonts w:asciiTheme="minorEastAsia" w:eastAsiaTheme="minorEastAsia" w:hAnsiTheme="minorEastAsia"/>
          <w:sz w:val="28"/>
          <w:szCs w:val="28"/>
        </w:rPr>
      </w:pPr>
    </w:p>
    <w:p w:rsidR="00094095" w:rsidRPr="003945C9" w:rsidRDefault="00094095" w:rsidP="00094095">
      <w:pPr>
        <w:spacing w:line="440" w:lineRule="exact"/>
        <w:ind w:firstLineChars="302" w:firstLine="846"/>
        <w:rPr>
          <w:rFonts w:asciiTheme="minorEastAsia" w:eastAsiaTheme="minorEastAsia" w:hAnsiTheme="minorEastAsia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AA5B84" w:rsidRPr="003945C9" w:rsidTr="00123A9D">
        <w:tc>
          <w:tcPr>
            <w:tcW w:w="1809" w:type="dxa"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AA5B84" w:rsidRPr="003945C9" w:rsidRDefault="007B1BD9" w:rsidP="007B1BD9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日立汽车系统株式会社（“</w:t>
            </w:r>
            <w:r w:rsidRPr="003945C9">
              <w:rPr>
                <w:rFonts w:asciiTheme="minorEastAsia" w:eastAsiaTheme="minorEastAsia" w:hAnsiTheme="minorEastAsia" w:cs="宋体" w:hint="eastAsia"/>
                <w:b/>
                <w:sz w:val="28"/>
                <w:szCs w:val="28"/>
              </w:rPr>
              <w:t>日立汽车系统</w:t>
            </w:r>
            <w:r w:rsidRPr="003945C9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”）与本田技</w:t>
            </w:r>
            <w:proofErr w:type="gramStart"/>
            <w:r w:rsidRPr="003945C9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研</w:t>
            </w:r>
            <w:proofErr w:type="gramEnd"/>
            <w:r w:rsidRPr="003945C9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工业株式会社（“</w:t>
            </w:r>
            <w:r w:rsidRPr="003945C9">
              <w:rPr>
                <w:rFonts w:asciiTheme="minorEastAsia" w:eastAsiaTheme="minorEastAsia" w:hAnsiTheme="minorEastAsia" w:cs="宋体" w:hint="eastAsia"/>
                <w:b/>
                <w:sz w:val="28"/>
                <w:szCs w:val="28"/>
              </w:rPr>
              <w:t>本田</w:t>
            </w:r>
            <w:r w:rsidRPr="003945C9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”）新设合营企业案(</w:t>
            </w:r>
            <w:r w:rsidR="00AA5B84" w:rsidRPr="003945C9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“</w:t>
            </w:r>
            <w:r w:rsidR="00AA5B84" w:rsidRPr="003945C9">
              <w:rPr>
                <w:rFonts w:asciiTheme="minorEastAsia" w:eastAsiaTheme="minorEastAsia" w:hAnsiTheme="minorEastAsia" w:cs="宋体" w:hint="eastAsia"/>
                <w:b/>
                <w:sz w:val="28"/>
                <w:szCs w:val="28"/>
              </w:rPr>
              <w:t>本交易</w:t>
            </w:r>
            <w:r w:rsidR="00AA5B84" w:rsidRPr="003945C9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”）</w:t>
            </w:r>
          </w:p>
        </w:tc>
      </w:tr>
      <w:tr w:rsidR="00AA5B84" w:rsidRPr="003945C9" w:rsidTr="002F2D60">
        <w:trPr>
          <w:trHeight w:val="993"/>
        </w:trPr>
        <w:tc>
          <w:tcPr>
            <w:tcW w:w="1809" w:type="dxa"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:rsidR="007B1BD9" w:rsidRPr="003945C9" w:rsidRDefault="007B1BD9" w:rsidP="009150AE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通过本交易，日立汽车系统和本田</w:t>
            </w:r>
            <w:r w:rsidR="00094EDF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拟</w:t>
            </w: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新设一家合营企业。合营企业将在日本设立研发部门、生产和销售部门，开发新产品，改进电动汽车</w:t>
            </w:r>
            <w:r w:rsidR="00207B99">
              <w:rPr>
                <w:rFonts w:asciiTheme="minorEastAsia" w:eastAsiaTheme="minorEastAsia" w:hAnsiTheme="minorEastAsia" w:hint="eastAsia"/>
                <w:sz w:val="28"/>
                <w:szCs w:val="28"/>
              </w:rPr>
              <w:t>电动机</w:t>
            </w: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。合营企业</w:t>
            </w:r>
            <w:r w:rsidR="009150AE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预计将来会</w:t>
            </w: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在中国和美国设立</w:t>
            </w:r>
            <w:r w:rsidR="00207B99">
              <w:rPr>
                <w:rFonts w:asciiTheme="minorEastAsia" w:eastAsiaTheme="minorEastAsia" w:hAnsiTheme="minorEastAsia" w:hint="eastAsia"/>
                <w:sz w:val="28"/>
                <w:szCs w:val="28"/>
              </w:rPr>
              <w:t>电动机</w:t>
            </w: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的生产和销售实体。合营企业生产的</w:t>
            </w:r>
            <w:r w:rsidR="007331F6">
              <w:rPr>
                <w:rFonts w:asciiTheme="minorEastAsia" w:eastAsiaTheme="minorEastAsia" w:hAnsiTheme="minorEastAsia" w:hint="eastAsia"/>
                <w:sz w:val="28"/>
                <w:szCs w:val="28"/>
              </w:rPr>
              <w:t>电动机</w:t>
            </w: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将销售给本田和其他原始设备生产商。</w:t>
            </w:r>
          </w:p>
          <w:p w:rsidR="00FE2746" w:rsidRPr="003945C9" w:rsidRDefault="00FE2746" w:rsidP="00FE2746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交易后，日立汽车系统和本田各持有合营企业51%、49%的股份。</w:t>
            </w:r>
          </w:p>
        </w:tc>
      </w:tr>
      <w:tr w:rsidR="00AA5B84" w:rsidRPr="003945C9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AA5B84" w:rsidRPr="003945C9" w:rsidRDefault="00AA5B84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1、</w:t>
            </w:r>
            <w:r w:rsidR="00602BDA" w:rsidRPr="003945C9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日立汽车系统</w:t>
            </w:r>
          </w:p>
        </w:tc>
        <w:tc>
          <w:tcPr>
            <w:tcW w:w="5153" w:type="dxa"/>
          </w:tcPr>
          <w:p w:rsidR="00AA5B84" w:rsidRPr="003945C9" w:rsidRDefault="00602BDA" w:rsidP="00825368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日立汽车系统为一家日本的非上市股份有限公司。日立汽车系统主要从事汽车零部件业务，如发动机管理系统和行驶控制系统产品等。</w:t>
            </w:r>
          </w:p>
        </w:tc>
      </w:tr>
      <w:tr w:rsidR="00AA5B84" w:rsidRPr="003945C9" w:rsidTr="00403D61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1796" w:type="dxa"/>
          </w:tcPr>
          <w:p w:rsidR="00AA5B84" w:rsidRPr="003945C9" w:rsidRDefault="00AA5B84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2、</w:t>
            </w:r>
            <w:r w:rsidR="00602BDA" w:rsidRPr="003945C9">
              <w:rPr>
                <w:rFonts w:asciiTheme="minorEastAsia" w:eastAsiaTheme="minorEastAsia" w:hAnsiTheme="minorEastAsia" w:cs="宋体" w:hint="eastAsia"/>
                <w:sz w:val="28"/>
                <w:szCs w:val="28"/>
              </w:rPr>
              <w:t>本田</w:t>
            </w:r>
          </w:p>
        </w:tc>
        <w:tc>
          <w:tcPr>
            <w:tcW w:w="5153" w:type="dxa"/>
          </w:tcPr>
          <w:p w:rsidR="00AA5B84" w:rsidRPr="003945C9" w:rsidRDefault="00602BDA" w:rsidP="002928F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  <w:lang w:val="x-none"/>
              </w:rPr>
              <w:t>本田为一家在东京和纽约交易所上市的日本公司。本田的主营业务包括全球范围内汽车、摩托车、通用产品和航空产品的设计、生产和营销。汽车领域</w:t>
            </w:r>
            <w:r w:rsidR="00094EDF" w:rsidRPr="003945C9"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  <w:lang w:val="x-none"/>
              </w:rPr>
              <w:t>业务</w:t>
            </w:r>
            <w:r w:rsidRPr="003945C9">
              <w:rPr>
                <w:rFonts w:asciiTheme="minorEastAsia" w:eastAsiaTheme="minorEastAsia" w:hAnsiTheme="minorEastAsia" w:hint="eastAsia"/>
                <w:kern w:val="0"/>
                <w:sz w:val="28"/>
                <w:szCs w:val="28"/>
                <w:lang w:val="x-none"/>
              </w:rPr>
              <w:t>包括混合驱动汽车、插电式混合动力车、纯电动汽车和天然气汽车等。</w:t>
            </w:r>
          </w:p>
        </w:tc>
      </w:tr>
      <w:tr w:rsidR="00AA5B84" w:rsidRPr="003945C9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AA5B84" w:rsidRPr="003945C9" w:rsidRDefault="00AA5B84" w:rsidP="00BB2377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AA5B84" w:rsidRPr="003945C9" w:rsidRDefault="007331F6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□</w:t>
            </w:r>
            <w:r w:rsidR="00AA5B84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AA5B84" w:rsidRPr="003945C9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3945C9" w:rsidRDefault="00F02C97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/>
                <w:sz w:val="28"/>
                <w:szCs w:val="28"/>
              </w:rPr>
              <w:sym w:font="Wingdings" w:char="F0FE"/>
            </w:r>
            <w:r w:rsidR="00AA5B84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AA5B84" w:rsidRPr="003945C9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3945C9" w:rsidRDefault="00F02C97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□</w:t>
            </w:r>
            <w:r w:rsidR="00AA5B84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3、不在同一相关市场、也不存在上下游关系的参与集中的经营者，在与交易有关的每个市场所占的份额均小</w:t>
            </w:r>
            <w:r w:rsidR="00AA5B84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lastRenderedPageBreak/>
              <w:t>于25%。</w:t>
            </w:r>
          </w:p>
        </w:tc>
      </w:tr>
      <w:tr w:rsidR="00AA5B84" w:rsidRPr="003945C9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AA5B84" w:rsidRPr="003945C9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AA5B84" w:rsidRPr="003945C9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AA5B84" w:rsidRPr="003945C9" w:rsidTr="002F2D60">
        <w:tc>
          <w:tcPr>
            <w:tcW w:w="1809" w:type="dxa"/>
            <w:shd w:val="clear" w:color="auto" w:fill="D9D9D9"/>
          </w:tcPr>
          <w:p w:rsidR="00AA5B84" w:rsidRPr="003945C9" w:rsidRDefault="00AA5B84" w:rsidP="002F2D60">
            <w:pPr>
              <w:spacing w:line="500" w:lineRule="exac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602BDA" w:rsidRPr="003945C9" w:rsidRDefault="00713068" w:rsidP="00BB5E21">
            <w:pPr>
              <w:spacing w:line="500" w:lineRule="exact"/>
              <w:ind w:right="142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日</w:t>
            </w:r>
            <w:r w:rsidR="00602BDA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立汽车系统</w:t>
            </w:r>
            <w:r w:rsidR="00EF1450">
              <w:rPr>
                <w:rFonts w:asciiTheme="minorEastAsia" w:eastAsiaTheme="minorEastAsia" w:hAnsiTheme="minorEastAsia" w:hint="eastAsia"/>
                <w:sz w:val="28"/>
                <w:szCs w:val="28"/>
              </w:rPr>
              <w:t>从事电动乘用车</w:t>
            </w:r>
            <w:r w:rsidR="007331F6">
              <w:rPr>
                <w:rFonts w:asciiTheme="minorEastAsia" w:eastAsiaTheme="minorEastAsia" w:hAnsiTheme="minorEastAsia" w:hint="eastAsia"/>
                <w:sz w:val="28"/>
                <w:szCs w:val="28"/>
              </w:rPr>
              <w:t>电动机</w:t>
            </w:r>
            <w:r w:rsidR="00602BDA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产品</w:t>
            </w:r>
            <w:r w:rsidR="00A22A29">
              <w:rPr>
                <w:rFonts w:asciiTheme="minorEastAsia" w:eastAsiaTheme="minorEastAsia" w:hAnsiTheme="minorEastAsia" w:hint="eastAsia"/>
                <w:sz w:val="28"/>
                <w:szCs w:val="28"/>
              </w:rPr>
              <w:t>的</w:t>
            </w:r>
            <w:r w:rsidR="00EF1450">
              <w:rPr>
                <w:rFonts w:asciiTheme="minorEastAsia" w:eastAsiaTheme="minorEastAsia" w:hAnsiTheme="minorEastAsia" w:hint="eastAsia"/>
                <w:sz w:val="28"/>
                <w:szCs w:val="28"/>
              </w:rPr>
              <w:t>生产</w:t>
            </w:r>
            <w:r w:rsidR="004C5210">
              <w:rPr>
                <w:rFonts w:asciiTheme="minorEastAsia" w:eastAsiaTheme="minorEastAsia" w:hAnsiTheme="minorEastAsia" w:hint="eastAsia"/>
                <w:sz w:val="28"/>
                <w:szCs w:val="28"/>
              </w:rPr>
              <w:t>；</w:t>
            </w:r>
            <w:r w:rsidR="00602BDA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本田在</w:t>
            </w:r>
            <w:r w:rsidR="007331F6">
              <w:rPr>
                <w:rFonts w:asciiTheme="minorEastAsia" w:eastAsiaTheme="minorEastAsia" w:hAnsiTheme="minorEastAsia" w:hint="eastAsia"/>
                <w:sz w:val="28"/>
                <w:szCs w:val="28"/>
              </w:rPr>
              <w:t>电动机</w:t>
            </w:r>
            <w:r w:rsidR="00602BDA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的纵向市场即</w:t>
            </w:r>
            <w:r w:rsidR="00BB7E71">
              <w:rPr>
                <w:rFonts w:asciiTheme="minorEastAsia" w:eastAsiaTheme="minorEastAsia" w:hAnsiTheme="minorEastAsia" w:hint="eastAsia"/>
                <w:sz w:val="28"/>
                <w:szCs w:val="28"/>
              </w:rPr>
              <w:t>混合动力汽车</w:t>
            </w:r>
            <w:r w:rsidR="00602BDA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市场上从事</w:t>
            </w:r>
            <w:r w:rsidR="004C5210">
              <w:rPr>
                <w:rFonts w:asciiTheme="minorEastAsia" w:eastAsiaTheme="minorEastAsia" w:hAnsiTheme="minorEastAsia" w:hint="eastAsia"/>
                <w:sz w:val="28"/>
                <w:szCs w:val="28"/>
              </w:rPr>
              <w:t>经营</w:t>
            </w:r>
            <w:r w:rsidR="00602BDA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业务。</w:t>
            </w:r>
          </w:p>
          <w:p w:rsidR="00602BDA" w:rsidRPr="003945C9" w:rsidRDefault="00602BDA" w:rsidP="00BB5E21">
            <w:pPr>
              <w:spacing w:line="500" w:lineRule="exact"/>
              <w:ind w:right="142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日立汽车系统</w:t>
            </w:r>
            <w:r w:rsidR="00713068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2016年</w:t>
            </w: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在中国</w:t>
            </w:r>
            <w:r w:rsidR="00934225">
              <w:rPr>
                <w:rFonts w:asciiTheme="minorEastAsia" w:eastAsiaTheme="minorEastAsia" w:hAnsiTheme="minorEastAsia" w:hint="eastAsia"/>
                <w:sz w:val="28"/>
                <w:szCs w:val="28"/>
              </w:rPr>
              <w:t>电动乘用车</w:t>
            </w:r>
            <w:r w:rsidR="007331F6">
              <w:rPr>
                <w:rFonts w:asciiTheme="minorEastAsia" w:eastAsiaTheme="minorEastAsia" w:hAnsiTheme="minorEastAsia" w:hint="eastAsia"/>
                <w:sz w:val="28"/>
                <w:szCs w:val="28"/>
              </w:rPr>
              <w:t>电动机</w:t>
            </w: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市场上的市场份额约为[0-5]%</w:t>
            </w:r>
            <w:r w:rsidR="00713068"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。</w:t>
            </w:r>
          </w:p>
          <w:p w:rsidR="00602BDA" w:rsidRPr="003945C9" w:rsidRDefault="00713068" w:rsidP="00BB7E71">
            <w:pPr>
              <w:spacing w:line="500" w:lineRule="exact"/>
              <w:ind w:right="142"/>
              <w:jc w:val="left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本田2016年在中国</w:t>
            </w:r>
            <w:r w:rsidR="00BB7E71">
              <w:rPr>
                <w:rFonts w:asciiTheme="minorEastAsia" w:eastAsiaTheme="minorEastAsia" w:hAnsiTheme="minorEastAsia" w:hint="eastAsia"/>
                <w:sz w:val="28"/>
                <w:szCs w:val="28"/>
              </w:rPr>
              <w:t>混合动力汽车</w:t>
            </w:r>
            <w:r w:rsidRPr="003945C9">
              <w:rPr>
                <w:rFonts w:asciiTheme="minorEastAsia" w:eastAsiaTheme="minorEastAsia" w:hAnsiTheme="minorEastAsia" w:hint="eastAsia"/>
                <w:sz w:val="28"/>
                <w:szCs w:val="28"/>
              </w:rPr>
              <w:t>市场上的市场份额估值约为[0-5]%。</w:t>
            </w:r>
            <w:bookmarkStart w:id="0" w:name="_GoBack"/>
            <w:bookmarkEnd w:id="0"/>
          </w:p>
        </w:tc>
      </w:tr>
    </w:tbl>
    <w:p w:rsidR="00BB2377" w:rsidRPr="003945C9" w:rsidRDefault="00BB2377" w:rsidP="00BB2377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</w:p>
    <w:p w:rsidR="005F167B" w:rsidRPr="003945C9" w:rsidRDefault="005F167B" w:rsidP="00BB2377">
      <w:pPr>
        <w:snapToGrid w:val="0"/>
        <w:spacing w:line="240" w:lineRule="exact"/>
        <w:jc w:val="left"/>
        <w:rPr>
          <w:rFonts w:asciiTheme="minorEastAsia" w:eastAsiaTheme="minorEastAsia" w:hAnsiTheme="minorEastAsia"/>
          <w:sz w:val="24"/>
          <w:szCs w:val="24"/>
        </w:rPr>
      </w:pPr>
      <w:r w:rsidRPr="003945C9">
        <w:rPr>
          <w:rFonts w:asciiTheme="minorEastAsia" w:eastAsiaTheme="minorEastAsia" w:hAnsiTheme="minorEastAsia" w:hint="eastAsia"/>
          <w:sz w:val="24"/>
          <w:szCs w:val="24"/>
        </w:rPr>
        <w:t>注解：</w:t>
      </w:r>
    </w:p>
    <w:p w:rsidR="005F167B" w:rsidRPr="003945C9" w:rsidRDefault="005F167B" w:rsidP="00BB2377">
      <w:pPr>
        <w:snapToGrid w:val="0"/>
        <w:spacing w:line="360" w:lineRule="auto"/>
        <w:ind w:firstLineChars="200" w:firstLine="480"/>
        <w:jc w:val="left"/>
        <w:rPr>
          <w:rFonts w:asciiTheme="minorEastAsia" w:eastAsiaTheme="minorEastAsia" w:hAnsiTheme="minorEastAsia"/>
          <w:sz w:val="24"/>
          <w:szCs w:val="24"/>
        </w:rPr>
      </w:pPr>
      <w:r w:rsidRPr="003945C9">
        <w:rPr>
          <w:rFonts w:asciiTheme="minorEastAsia" w:eastAsiaTheme="minorEastAsia" w:hAnsiTheme="minorEastAsia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3945C9">
        <w:rPr>
          <w:rFonts w:asciiTheme="minorEastAsia" w:eastAsiaTheme="minorEastAsia" w:hAnsiTheme="minorEastAsia" w:hint="eastAsia"/>
          <w:sz w:val="24"/>
          <w:szCs w:val="24"/>
        </w:rPr>
        <w:t>没有勾选的</w:t>
      </w:r>
      <w:proofErr w:type="gramEnd"/>
      <w:r w:rsidRPr="003945C9">
        <w:rPr>
          <w:rFonts w:asciiTheme="minorEastAsia" w:eastAsiaTheme="minorEastAsia" w:hAnsiTheme="minorEastAsia" w:hint="eastAsia"/>
          <w:sz w:val="24"/>
          <w:szCs w:val="24"/>
        </w:rPr>
        <w:t>，视为本集中不涉及该类型交易。</w:t>
      </w:r>
    </w:p>
    <w:p w:rsidR="00F87C1F" w:rsidRPr="003945C9" w:rsidRDefault="005F167B" w:rsidP="00055AFA">
      <w:pPr>
        <w:spacing w:line="360" w:lineRule="auto"/>
        <w:ind w:firstLineChars="200" w:firstLine="480"/>
        <w:rPr>
          <w:rFonts w:asciiTheme="minorEastAsia" w:eastAsiaTheme="minorEastAsia" w:hAnsiTheme="minorEastAsia"/>
          <w:sz w:val="28"/>
          <w:szCs w:val="28"/>
        </w:rPr>
      </w:pPr>
      <w:r w:rsidRPr="003945C9">
        <w:rPr>
          <w:rFonts w:asciiTheme="minorEastAsia" w:eastAsiaTheme="minorEastAsia" w:hAnsiTheme="minorEastAsia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3945C9">
        <w:rPr>
          <w:rFonts w:asciiTheme="minorEastAsia" w:eastAsiaTheme="minorEastAsia" w:hAnsiTheme="minorEastAsia" w:hint="eastAsia"/>
          <w:sz w:val="24"/>
          <w:szCs w:val="24"/>
        </w:rPr>
        <w:br/>
        <w:t xml:space="preserve">    3、由两个或两个以上经营者共同控制的合营企业，通过集中被其中的一个经营者控制，如果该经营者与合营企业属于同一相关市场的竞争者，则申报方在申请简易案件时，须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3945C9">
        <w:rPr>
          <w:rFonts w:asciiTheme="minorEastAsia" w:eastAsiaTheme="minorEastAsia" w:hAnsiTheme="minorEastAsia" w:hint="eastAsia"/>
          <w:sz w:val="24"/>
          <w:szCs w:val="24"/>
        </w:rPr>
        <w:t>同时勾选第1项</w:t>
      </w:r>
      <w:proofErr w:type="gramEnd"/>
      <w:r w:rsidRPr="003945C9">
        <w:rPr>
          <w:rFonts w:asciiTheme="minorEastAsia" w:eastAsiaTheme="minorEastAsia" w:hAnsiTheme="minorEastAsia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sectPr w:rsidR="00F87C1F" w:rsidRPr="003945C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10C4" w:rsidRDefault="00C410C4" w:rsidP="00094095">
      <w:r>
        <w:separator/>
      </w:r>
    </w:p>
  </w:endnote>
  <w:endnote w:type="continuationSeparator" w:id="0">
    <w:p w:rsidR="00C410C4" w:rsidRDefault="00C410C4" w:rsidP="00094095">
      <w:r>
        <w:continuationSeparator/>
      </w:r>
    </w:p>
  </w:endnote>
  <w:endnote w:type="continuationNotice" w:id="1">
    <w:p w:rsidR="00C410C4" w:rsidRDefault="00C410C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MT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10C4" w:rsidRDefault="00C410C4" w:rsidP="00094095">
      <w:r>
        <w:separator/>
      </w:r>
    </w:p>
  </w:footnote>
  <w:footnote w:type="continuationSeparator" w:id="0">
    <w:p w:rsidR="00C410C4" w:rsidRDefault="00C410C4" w:rsidP="00094095">
      <w:r>
        <w:continuationSeparator/>
      </w:r>
    </w:p>
  </w:footnote>
  <w:footnote w:type="continuationNotice" w:id="1">
    <w:p w:rsidR="00C410C4" w:rsidRDefault="00C410C4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84F54"/>
    <w:multiLevelType w:val="hybridMultilevel"/>
    <w:tmpl w:val="11B4A1F8"/>
    <w:lvl w:ilvl="0" w:tplc="704C91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54A6037"/>
    <w:multiLevelType w:val="hybridMultilevel"/>
    <w:tmpl w:val="55F610D2"/>
    <w:lvl w:ilvl="0" w:tplc="255A61F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D586A91"/>
    <w:multiLevelType w:val="hybridMultilevel"/>
    <w:tmpl w:val="23A000C0"/>
    <w:lvl w:ilvl="0" w:tplc="D0FAAC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242247F"/>
    <w:multiLevelType w:val="multilevel"/>
    <w:tmpl w:val="5894B8C8"/>
    <w:lvl w:ilvl="0">
      <w:start w:val="1"/>
      <w:numFmt w:val="decimal"/>
      <w:pStyle w:val="AMLNotifyL1"/>
      <w:lvlText w:val="%1."/>
      <w:lvlJc w:val="left"/>
      <w:pPr>
        <w:tabs>
          <w:tab w:val="num" w:pos="706"/>
        </w:tabs>
        <w:ind w:left="0" w:firstLine="0"/>
      </w:pPr>
      <w:rPr>
        <w:b/>
        <w:i w:val="0"/>
        <w:caps w:val="0"/>
        <w:smallCaps w:val="0"/>
        <w:u w:val="none"/>
        <w:lang w:val="en-GB"/>
      </w:rPr>
    </w:lvl>
    <w:lvl w:ilvl="1">
      <w:start w:val="1"/>
      <w:numFmt w:val="decimal"/>
      <w:pStyle w:val="AMLNotifyL2"/>
      <w:isLgl/>
      <w:lvlText w:val="%1.%2"/>
      <w:lvlJc w:val="left"/>
      <w:pPr>
        <w:tabs>
          <w:tab w:val="num" w:pos="709"/>
        </w:tabs>
        <w:ind w:left="0" w:firstLine="0"/>
      </w:pPr>
      <w:rPr>
        <w:b/>
        <w:i w:val="0"/>
        <w:caps w:val="0"/>
        <w:u w:val="none"/>
      </w:rPr>
    </w:lvl>
    <w:lvl w:ilvl="2">
      <w:start w:val="1"/>
      <w:numFmt w:val="decimal"/>
      <w:pStyle w:val="AMLNotifyL3"/>
      <w:lvlText w:val="%1.%2.%3"/>
      <w:lvlJc w:val="left"/>
      <w:pPr>
        <w:tabs>
          <w:tab w:val="num" w:pos="567"/>
        </w:tabs>
        <w:ind w:left="0" w:firstLine="0"/>
      </w:pPr>
      <w:rPr>
        <w:b/>
        <w:i w:val="0"/>
        <w:caps w:val="0"/>
        <w:u w:val="none"/>
      </w:rPr>
    </w:lvl>
    <w:lvl w:ilvl="3">
      <w:start w:val="1"/>
      <w:numFmt w:val="lowerLetter"/>
      <w:pStyle w:val="AMLNotifyL4"/>
      <w:lvlText w:val="(%4)"/>
      <w:lvlJc w:val="left"/>
      <w:pPr>
        <w:tabs>
          <w:tab w:val="num" w:pos="706"/>
        </w:tabs>
        <w:ind w:left="0" w:firstLine="0"/>
      </w:pPr>
      <w:rPr>
        <w:b w:val="0"/>
        <w:i w:val="0"/>
        <w:caps w:val="0"/>
        <w:u w:val="none"/>
      </w:rPr>
    </w:lvl>
    <w:lvl w:ilvl="4">
      <w:start w:val="1"/>
      <w:numFmt w:val="lowerRoman"/>
      <w:pStyle w:val="AMLNotifyL5"/>
      <w:lvlText w:val="(%5)"/>
      <w:lvlJc w:val="left"/>
      <w:pPr>
        <w:tabs>
          <w:tab w:val="num" w:pos="709"/>
        </w:tabs>
        <w:ind w:left="0" w:firstLine="0"/>
      </w:pPr>
      <w:rPr>
        <w:rFonts w:ascii="Times New Roman" w:hAnsi="Times New Roman" w:cs="Times New Roman" w:hint="default"/>
        <w:b/>
        <w:i/>
        <w:caps w:val="0"/>
        <w:u w:val="none"/>
      </w:rPr>
    </w:lvl>
    <w:lvl w:ilvl="5">
      <w:start w:val="1"/>
      <w:numFmt w:val="decimal"/>
      <w:lvlText w:val="%6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  <w:lvl w:ilvl="6">
      <w:start w:val="1"/>
      <w:numFmt w:val="decimal"/>
      <w:lvlText w:val="%7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0" w:firstLine="5760"/>
      </w:pPr>
      <w:rPr>
        <w:b w:val="0"/>
        <w:i w:val="0"/>
        <w:caps w:val="0"/>
        <w:u w:val="none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12F50"/>
    <w:rsid w:val="00014B66"/>
    <w:rsid w:val="0004505B"/>
    <w:rsid w:val="00045639"/>
    <w:rsid w:val="00055AFA"/>
    <w:rsid w:val="00066632"/>
    <w:rsid w:val="0007277E"/>
    <w:rsid w:val="00087EB3"/>
    <w:rsid w:val="000936E5"/>
    <w:rsid w:val="00094095"/>
    <w:rsid w:val="00094EDF"/>
    <w:rsid w:val="000C45D1"/>
    <w:rsid w:val="000F0FA6"/>
    <w:rsid w:val="000F4A5C"/>
    <w:rsid w:val="000F6218"/>
    <w:rsid w:val="0012451C"/>
    <w:rsid w:val="0013536A"/>
    <w:rsid w:val="00142528"/>
    <w:rsid w:val="001960FD"/>
    <w:rsid w:val="001A3BEF"/>
    <w:rsid w:val="001E375E"/>
    <w:rsid w:val="002024FE"/>
    <w:rsid w:val="00202FA0"/>
    <w:rsid w:val="0020603A"/>
    <w:rsid w:val="00206578"/>
    <w:rsid w:val="00207B99"/>
    <w:rsid w:val="00245776"/>
    <w:rsid w:val="00280BB5"/>
    <w:rsid w:val="002928F0"/>
    <w:rsid w:val="002D7299"/>
    <w:rsid w:val="002F2D60"/>
    <w:rsid w:val="00307976"/>
    <w:rsid w:val="003103AE"/>
    <w:rsid w:val="003161C4"/>
    <w:rsid w:val="0032151A"/>
    <w:rsid w:val="00347FC1"/>
    <w:rsid w:val="00384BBD"/>
    <w:rsid w:val="003945C9"/>
    <w:rsid w:val="00403D61"/>
    <w:rsid w:val="00405A6C"/>
    <w:rsid w:val="00432EF8"/>
    <w:rsid w:val="00455E7B"/>
    <w:rsid w:val="00462174"/>
    <w:rsid w:val="00464408"/>
    <w:rsid w:val="00487965"/>
    <w:rsid w:val="004C5210"/>
    <w:rsid w:val="004E4072"/>
    <w:rsid w:val="00506115"/>
    <w:rsid w:val="0054393A"/>
    <w:rsid w:val="00546E0E"/>
    <w:rsid w:val="005744E1"/>
    <w:rsid w:val="005B64FB"/>
    <w:rsid w:val="005F167B"/>
    <w:rsid w:val="005F23EF"/>
    <w:rsid w:val="00602BDA"/>
    <w:rsid w:val="00651923"/>
    <w:rsid w:val="00667E5C"/>
    <w:rsid w:val="006871E3"/>
    <w:rsid w:val="006F2BD9"/>
    <w:rsid w:val="00713068"/>
    <w:rsid w:val="007143FE"/>
    <w:rsid w:val="00721A1D"/>
    <w:rsid w:val="00726F13"/>
    <w:rsid w:val="007331F6"/>
    <w:rsid w:val="0074132C"/>
    <w:rsid w:val="00746CD9"/>
    <w:rsid w:val="00762FA4"/>
    <w:rsid w:val="00765B71"/>
    <w:rsid w:val="007712AF"/>
    <w:rsid w:val="007742EF"/>
    <w:rsid w:val="00795988"/>
    <w:rsid w:val="007A67C2"/>
    <w:rsid w:val="007B1BD9"/>
    <w:rsid w:val="007F30E6"/>
    <w:rsid w:val="00825368"/>
    <w:rsid w:val="008608E5"/>
    <w:rsid w:val="008E7A81"/>
    <w:rsid w:val="008F40AD"/>
    <w:rsid w:val="009150AE"/>
    <w:rsid w:val="00934225"/>
    <w:rsid w:val="0099132D"/>
    <w:rsid w:val="0099193D"/>
    <w:rsid w:val="00992A86"/>
    <w:rsid w:val="009B7CC9"/>
    <w:rsid w:val="009F7BA9"/>
    <w:rsid w:val="00A22A29"/>
    <w:rsid w:val="00A364D8"/>
    <w:rsid w:val="00AA5B84"/>
    <w:rsid w:val="00B16306"/>
    <w:rsid w:val="00B35C25"/>
    <w:rsid w:val="00B6501C"/>
    <w:rsid w:val="00B67AA8"/>
    <w:rsid w:val="00B84B93"/>
    <w:rsid w:val="00BA0750"/>
    <w:rsid w:val="00BB2377"/>
    <w:rsid w:val="00BB5E21"/>
    <w:rsid w:val="00BB71E9"/>
    <w:rsid w:val="00BB7E71"/>
    <w:rsid w:val="00C10194"/>
    <w:rsid w:val="00C410C4"/>
    <w:rsid w:val="00C72BCD"/>
    <w:rsid w:val="00C9068E"/>
    <w:rsid w:val="00C97B84"/>
    <w:rsid w:val="00CA6218"/>
    <w:rsid w:val="00CC42B8"/>
    <w:rsid w:val="00D10553"/>
    <w:rsid w:val="00D16897"/>
    <w:rsid w:val="00D21777"/>
    <w:rsid w:val="00D273FC"/>
    <w:rsid w:val="00D47702"/>
    <w:rsid w:val="00D54258"/>
    <w:rsid w:val="00EC7541"/>
    <w:rsid w:val="00ED21B1"/>
    <w:rsid w:val="00EF1450"/>
    <w:rsid w:val="00EF3F2A"/>
    <w:rsid w:val="00EF4134"/>
    <w:rsid w:val="00EF70F4"/>
    <w:rsid w:val="00F02C97"/>
    <w:rsid w:val="00F02CC7"/>
    <w:rsid w:val="00F35123"/>
    <w:rsid w:val="00F500E0"/>
    <w:rsid w:val="00F652CB"/>
    <w:rsid w:val="00F87C1F"/>
    <w:rsid w:val="00FC2477"/>
    <w:rsid w:val="00FD5143"/>
    <w:rsid w:val="00FE2746"/>
    <w:rsid w:val="00FE4B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6CD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6CD9"/>
    <w:rPr>
      <w:kern w:val="2"/>
      <w:sz w:val="18"/>
      <w:szCs w:val="18"/>
    </w:rPr>
  </w:style>
  <w:style w:type="paragraph" w:customStyle="1" w:styleId="AMLNotifyL1">
    <w:name w:val="AMLNotify_L1"/>
    <w:basedOn w:val="a"/>
    <w:next w:val="a"/>
    <w:rsid w:val="007B1BD9"/>
    <w:pPr>
      <w:keepNext/>
      <w:keepLines/>
      <w:widowControl/>
      <w:numPr>
        <w:numId w:val="5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GB"/>
    </w:rPr>
  </w:style>
  <w:style w:type="paragraph" w:customStyle="1" w:styleId="AMLNotifyL2">
    <w:name w:val="AMLNotify_L2"/>
    <w:basedOn w:val="AMLNotifyL1"/>
    <w:next w:val="a"/>
    <w:rsid w:val="007B1BD9"/>
    <w:pPr>
      <w:keepNext w:val="0"/>
      <w:keepLines w:val="0"/>
      <w:numPr>
        <w:ilvl w:val="1"/>
      </w:numPr>
      <w:jc w:val="both"/>
      <w:outlineLvl w:val="1"/>
    </w:pPr>
    <w:rPr>
      <w:smallCaps w:val="0"/>
    </w:rPr>
  </w:style>
  <w:style w:type="paragraph" w:customStyle="1" w:styleId="AMLNotifyL3">
    <w:name w:val="AMLNotify_L3"/>
    <w:basedOn w:val="AMLNotifyL2"/>
    <w:next w:val="a"/>
    <w:rsid w:val="007B1BD9"/>
    <w:pPr>
      <w:numPr>
        <w:ilvl w:val="2"/>
      </w:numPr>
      <w:outlineLvl w:val="2"/>
    </w:pPr>
  </w:style>
  <w:style w:type="paragraph" w:customStyle="1" w:styleId="AMLNotifyL4">
    <w:name w:val="AMLNotify_L4"/>
    <w:basedOn w:val="AMLNotifyL3"/>
    <w:next w:val="a"/>
    <w:rsid w:val="007B1BD9"/>
    <w:pPr>
      <w:numPr>
        <w:ilvl w:val="3"/>
      </w:numPr>
      <w:outlineLvl w:val="3"/>
    </w:pPr>
  </w:style>
  <w:style w:type="paragraph" w:customStyle="1" w:styleId="AMLNotifyL5">
    <w:name w:val="AMLNotify_L5"/>
    <w:basedOn w:val="AMLNotifyL4"/>
    <w:next w:val="a"/>
    <w:rsid w:val="007B1BD9"/>
    <w:pPr>
      <w:numPr>
        <w:ilvl w:val="4"/>
      </w:numPr>
      <w:outlineLvl w:val="4"/>
    </w:pPr>
    <w:rPr>
      <w:i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List Paragraph"/>
    <w:basedOn w:val="a"/>
    <w:uiPriority w:val="34"/>
    <w:qFormat/>
    <w:rsid w:val="00F652CB"/>
    <w:pPr>
      <w:ind w:firstLineChars="200" w:firstLine="420"/>
    </w:pPr>
  </w:style>
  <w:style w:type="paragraph" w:styleId="a9">
    <w:name w:val="Balloon Text"/>
    <w:basedOn w:val="a"/>
    <w:link w:val="Char2"/>
    <w:uiPriority w:val="99"/>
    <w:semiHidden/>
    <w:unhideWhenUsed/>
    <w:rsid w:val="00746CD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746CD9"/>
    <w:rPr>
      <w:kern w:val="2"/>
      <w:sz w:val="18"/>
      <w:szCs w:val="18"/>
    </w:rPr>
  </w:style>
  <w:style w:type="paragraph" w:customStyle="1" w:styleId="AMLNotifyL1">
    <w:name w:val="AMLNotify_L1"/>
    <w:basedOn w:val="a"/>
    <w:next w:val="a"/>
    <w:rsid w:val="007B1BD9"/>
    <w:pPr>
      <w:keepNext/>
      <w:keepLines/>
      <w:widowControl/>
      <w:numPr>
        <w:numId w:val="5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GB"/>
    </w:rPr>
  </w:style>
  <w:style w:type="paragraph" w:customStyle="1" w:styleId="AMLNotifyL2">
    <w:name w:val="AMLNotify_L2"/>
    <w:basedOn w:val="AMLNotifyL1"/>
    <w:next w:val="a"/>
    <w:rsid w:val="007B1BD9"/>
    <w:pPr>
      <w:keepNext w:val="0"/>
      <w:keepLines w:val="0"/>
      <w:numPr>
        <w:ilvl w:val="1"/>
      </w:numPr>
      <w:jc w:val="both"/>
      <w:outlineLvl w:val="1"/>
    </w:pPr>
    <w:rPr>
      <w:smallCaps w:val="0"/>
    </w:rPr>
  </w:style>
  <w:style w:type="paragraph" w:customStyle="1" w:styleId="AMLNotifyL3">
    <w:name w:val="AMLNotify_L3"/>
    <w:basedOn w:val="AMLNotifyL2"/>
    <w:next w:val="a"/>
    <w:rsid w:val="007B1BD9"/>
    <w:pPr>
      <w:numPr>
        <w:ilvl w:val="2"/>
      </w:numPr>
      <w:outlineLvl w:val="2"/>
    </w:pPr>
  </w:style>
  <w:style w:type="paragraph" w:customStyle="1" w:styleId="AMLNotifyL4">
    <w:name w:val="AMLNotify_L4"/>
    <w:basedOn w:val="AMLNotifyL3"/>
    <w:next w:val="a"/>
    <w:rsid w:val="007B1BD9"/>
    <w:pPr>
      <w:numPr>
        <w:ilvl w:val="3"/>
      </w:numPr>
      <w:outlineLvl w:val="3"/>
    </w:pPr>
  </w:style>
  <w:style w:type="paragraph" w:customStyle="1" w:styleId="AMLNotifyL5">
    <w:name w:val="AMLNotify_L5"/>
    <w:basedOn w:val="AMLNotifyL4"/>
    <w:next w:val="a"/>
    <w:rsid w:val="007B1BD9"/>
    <w:pPr>
      <w:numPr>
        <w:ilvl w:val="4"/>
      </w:numPr>
      <w:outlineLvl w:val="4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C7196-5FC1-4641-B9D0-3D6FB8702E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48FD1E-3392-4DBE-A098-8FEABE85D3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584</Words>
  <Characters>602</Characters>
  <Application>Microsoft Office Word</Application>
  <DocSecurity>0</DocSecurity>
  <Lines>40</Lines>
  <Paragraphs>25</Paragraphs>
  <ScaleCrop>false</ScaleCrop>
  <Company>King &amp; Wood Mallesons</Company>
  <LinksUpToDate>false</LinksUpToDate>
  <CharactersWithSpaces>1161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King &amp; Wood Mallesons</cp:lastModifiedBy>
  <cp:revision>4</cp:revision>
  <cp:lastPrinted>2014-10-08T02:48:00Z</cp:lastPrinted>
  <dcterms:created xsi:type="dcterms:W3CDTF">2017-05-17T05:24:00Z</dcterms:created>
  <dcterms:modified xsi:type="dcterms:W3CDTF">2017-05-17T06:45:00Z</dcterms:modified>
</cp:coreProperties>
</file>