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06F" w:rsidRPr="009D55CA" w:rsidRDefault="00A5306F" w:rsidP="00197BCC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9D55CA">
        <w:rPr>
          <w:rFonts w:ascii="Times New Roman" w:hAnsi="Times New Roman" w:cs="Times New Roman"/>
          <w:b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A1271" w:rsidRPr="001029E1" w:rsidTr="00C43F73">
        <w:trPr>
          <w:trHeight w:val="310"/>
        </w:trPr>
        <w:tc>
          <w:tcPr>
            <w:tcW w:w="1809" w:type="dxa"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3A1271" w:rsidRDefault="00B43252" w:rsidP="00C43F73">
            <w:pPr>
              <w:snapToGrid w:val="0"/>
              <w:spacing w:after="0" w:line="240" w:lineRule="auto"/>
              <w:jc w:val="both"/>
              <w:rPr>
                <w:rFonts w:eastAsiaTheme="majorEastAsia"/>
                <w:szCs w:val="21"/>
              </w:rPr>
            </w:pPr>
            <w:r w:rsidRPr="00B43252">
              <w:rPr>
                <w:rFonts w:eastAsiaTheme="majorEastAsia" w:hAnsiTheme="majorEastAsia" w:hint="eastAsia"/>
                <w:lang w:val="en-US"/>
              </w:rPr>
              <w:t>宝马股份公司、戴姆勒股份公司等经营者新设合营企业案</w:t>
            </w:r>
          </w:p>
        </w:tc>
      </w:tr>
      <w:tr w:rsidR="00A5306F" w:rsidRPr="001029E1" w:rsidTr="00AA7A19">
        <w:trPr>
          <w:trHeight w:val="993"/>
        </w:trPr>
        <w:tc>
          <w:tcPr>
            <w:tcW w:w="1809" w:type="dxa"/>
            <w:shd w:val="clear" w:color="auto" w:fill="D9D9D9"/>
          </w:tcPr>
          <w:p w:rsidR="00A5306F" w:rsidRPr="001029E1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交易概况（限</w:t>
            </w:r>
            <w:r w:rsidRPr="001029E1">
              <w:rPr>
                <w:rFonts w:ascii="Times New Roman" w:hAnsi="Times New Roman" w:cs="Times New Roman"/>
                <w:b/>
              </w:rPr>
              <w:t>200</w:t>
            </w:r>
            <w:r w:rsidRPr="001029E1">
              <w:rPr>
                <w:rFonts w:ascii="Times New Roman" w:hAnsi="Times New Roman" w:cs="Times New Roman"/>
                <w:b/>
              </w:rPr>
              <w:t>字内）</w:t>
            </w:r>
          </w:p>
        </w:tc>
        <w:tc>
          <w:tcPr>
            <w:tcW w:w="6949" w:type="dxa"/>
            <w:gridSpan w:val="2"/>
          </w:tcPr>
          <w:p w:rsidR="00826312" w:rsidRPr="003A1271" w:rsidRDefault="003A1271" w:rsidP="00023982">
            <w:pPr>
              <w:spacing w:after="0" w:line="240" w:lineRule="auto"/>
              <w:jc w:val="both"/>
              <w:rPr>
                <w:rFonts w:eastAsiaTheme="majorEastAsia"/>
                <w:lang w:val="en-GB"/>
              </w:rPr>
            </w:pPr>
            <w:r w:rsidRPr="009D351F">
              <w:rPr>
                <w:rFonts w:eastAsiaTheme="majorEastAsia" w:hint="eastAsia"/>
              </w:rPr>
              <w:t>宝马（直接或通过</w:t>
            </w:r>
            <w:r>
              <w:rPr>
                <w:rFonts w:eastAsiaTheme="majorEastAsia" w:hint="eastAsia"/>
              </w:rPr>
              <w:t>其</w:t>
            </w:r>
            <w:r w:rsidRPr="009D351F">
              <w:rPr>
                <w:rFonts w:eastAsiaTheme="majorEastAsia" w:hint="eastAsia"/>
              </w:rPr>
              <w:t>子公司）、戴姆勒、福特（直接或通过</w:t>
            </w:r>
            <w:r>
              <w:rPr>
                <w:rFonts w:eastAsiaTheme="majorEastAsia" w:hint="eastAsia"/>
              </w:rPr>
              <w:t>其</w:t>
            </w:r>
            <w:r w:rsidRPr="009D351F">
              <w:rPr>
                <w:rFonts w:eastAsiaTheme="majorEastAsia" w:hint="eastAsia"/>
              </w:rPr>
              <w:t>子公司）和保时捷（代表大众集团）</w:t>
            </w:r>
            <w:r>
              <w:rPr>
                <w:rFonts w:eastAsiaTheme="majorEastAsia" w:hint="eastAsia"/>
              </w:rPr>
              <w:t>计划</w:t>
            </w:r>
            <w:r w:rsidRPr="009D351F">
              <w:rPr>
                <w:rFonts w:eastAsiaTheme="majorEastAsia" w:hint="eastAsia"/>
              </w:rPr>
              <w:t>在</w:t>
            </w:r>
            <w:r w:rsidR="00CD025F" w:rsidRPr="009D351F">
              <w:rPr>
                <w:rFonts w:eastAsiaTheme="majorEastAsia" w:hint="eastAsia"/>
              </w:rPr>
              <w:t>欧洲高速公路和</w:t>
            </w:r>
            <w:r w:rsidR="00CD025F">
              <w:rPr>
                <w:rFonts w:eastAsiaTheme="majorEastAsia" w:hint="eastAsia"/>
              </w:rPr>
              <w:t>干道</w:t>
            </w:r>
            <w:r w:rsidR="00CD025F" w:rsidRPr="009D351F">
              <w:rPr>
                <w:rFonts w:eastAsiaTheme="majorEastAsia" w:hint="eastAsia"/>
              </w:rPr>
              <w:t>公路沿线</w:t>
            </w:r>
            <w:r w:rsidRPr="009D351F">
              <w:rPr>
                <w:rFonts w:eastAsiaTheme="majorEastAsia" w:hint="eastAsia"/>
              </w:rPr>
              <w:t>运营</w:t>
            </w:r>
            <w:r>
              <w:rPr>
                <w:rFonts w:eastAsiaTheme="majorEastAsia" w:hint="eastAsia"/>
              </w:rPr>
              <w:t>供</w:t>
            </w:r>
            <w:r w:rsidRPr="009D351F">
              <w:rPr>
                <w:rFonts w:eastAsiaTheme="majorEastAsia" w:hint="eastAsia"/>
              </w:rPr>
              <w:t>电动车</w:t>
            </w:r>
            <w:r>
              <w:rPr>
                <w:rFonts w:eastAsiaTheme="majorEastAsia" w:hint="eastAsia"/>
              </w:rPr>
              <w:t>使用的</w:t>
            </w:r>
            <w:r w:rsidR="00CD025F">
              <w:rPr>
                <w:rFonts w:eastAsiaTheme="majorEastAsia" w:hint="eastAsia"/>
              </w:rPr>
              <w:t>大功率公共</w:t>
            </w:r>
            <w:r w:rsidRPr="009D351F">
              <w:rPr>
                <w:rFonts w:eastAsiaTheme="majorEastAsia" w:hint="eastAsia"/>
              </w:rPr>
              <w:t>充电设施。为</w:t>
            </w:r>
            <w:r w:rsidR="00CD025F">
              <w:rPr>
                <w:rFonts w:eastAsiaTheme="majorEastAsia" w:hint="eastAsia"/>
              </w:rPr>
              <w:t>此</w:t>
            </w:r>
            <w:r w:rsidRPr="009D351F">
              <w:rPr>
                <w:rFonts w:eastAsiaTheme="majorEastAsia" w:hint="eastAsia"/>
              </w:rPr>
              <w:t>目的，交易各方</w:t>
            </w:r>
            <w:r>
              <w:rPr>
                <w:rFonts w:eastAsiaTheme="majorEastAsia" w:hint="eastAsia"/>
              </w:rPr>
              <w:t>计划</w:t>
            </w:r>
            <w:r w:rsidR="00972CA1">
              <w:rPr>
                <w:rFonts w:eastAsiaTheme="majorEastAsia" w:hint="eastAsia"/>
              </w:rPr>
              <w:t>在欧洲</w:t>
            </w:r>
            <w:r w:rsidRPr="009D351F">
              <w:rPr>
                <w:rFonts w:eastAsiaTheme="majorEastAsia" w:hint="eastAsia"/>
              </w:rPr>
              <w:t>设立一家</w:t>
            </w:r>
            <w:r w:rsidRPr="00972CA1">
              <w:rPr>
                <w:rFonts w:eastAsiaTheme="majorEastAsia" w:hint="eastAsia"/>
              </w:rPr>
              <w:t>合营企业</w:t>
            </w:r>
            <w:r w:rsidRPr="009D351F">
              <w:rPr>
                <w:rFonts w:eastAsiaTheme="majorEastAsia" w:hint="eastAsia"/>
              </w:rPr>
              <w:t>，其股份由</w:t>
            </w:r>
            <w:r>
              <w:rPr>
                <w:rFonts w:eastAsiaTheme="majorEastAsia" w:hint="eastAsia"/>
              </w:rPr>
              <w:t>交易</w:t>
            </w:r>
            <w:r w:rsidRPr="009D351F">
              <w:rPr>
                <w:rFonts w:eastAsiaTheme="majorEastAsia" w:hint="eastAsia"/>
              </w:rPr>
              <w:t>各方按</w:t>
            </w:r>
            <w:r>
              <w:rPr>
                <w:rFonts w:eastAsiaTheme="majorEastAsia" w:hint="eastAsia"/>
              </w:rPr>
              <w:t>同等</w:t>
            </w:r>
            <w:r w:rsidRPr="009D351F">
              <w:rPr>
                <w:rFonts w:eastAsiaTheme="majorEastAsia" w:hint="eastAsia"/>
              </w:rPr>
              <w:t>比例持有</w:t>
            </w:r>
            <w:r w:rsidR="003305E6">
              <w:rPr>
                <w:rFonts w:eastAsiaTheme="majorEastAsia" w:hint="eastAsia"/>
              </w:rPr>
              <w:t>。该合营企业拟</w:t>
            </w:r>
            <w:r w:rsidR="00972CA1" w:rsidRPr="003A1271">
              <w:rPr>
                <w:rFonts w:ascii="Times New Roman" w:hAnsi="Times New Roman" w:hint="eastAsia"/>
                <w:kern w:val="2"/>
                <w:sz w:val="21"/>
                <w:szCs w:val="21"/>
              </w:rPr>
              <w:t>在欧洲经济区从事电动车大功率公共充电设施的</w:t>
            </w:r>
            <w:r w:rsidR="0044133C">
              <w:rPr>
                <w:rFonts w:ascii="Times New Roman" w:hAnsi="Times New Roman" w:hint="eastAsia"/>
                <w:kern w:val="2"/>
                <w:sz w:val="21"/>
                <w:szCs w:val="21"/>
              </w:rPr>
              <w:t>运营</w:t>
            </w:r>
            <w:r w:rsidR="00972CA1" w:rsidRPr="003A1271">
              <w:rPr>
                <w:rFonts w:ascii="Times New Roman" w:hAnsi="Times New Roman" w:hint="eastAsia"/>
                <w:kern w:val="2"/>
                <w:sz w:val="21"/>
                <w:szCs w:val="21"/>
              </w:rPr>
              <w:t>业务</w:t>
            </w:r>
            <w:r w:rsidRPr="009D351F">
              <w:rPr>
                <w:rFonts w:eastAsiaTheme="majorEastAsia" w:hint="eastAsia"/>
              </w:rPr>
              <w:t>。本交易</w:t>
            </w:r>
            <w:r>
              <w:rPr>
                <w:rFonts w:eastAsiaTheme="majorEastAsia" w:hint="eastAsia"/>
              </w:rPr>
              <w:t>完成</w:t>
            </w:r>
            <w:r w:rsidRPr="009D351F">
              <w:rPr>
                <w:rFonts w:eastAsiaTheme="majorEastAsia" w:hint="eastAsia"/>
              </w:rPr>
              <w:t>后，宝马、戴姆勒、福特和保时捷（代表大众集团）将对</w:t>
            </w:r>
            <w:r>
              <w:rPr>
                <w:rFonts w:eastAsiaTheme="majorEastAsia" w:hint="eastAsia"/>
              </w:rPr>
              <w:t>合营企业</w:t>
            </w:r>
            <w:r w:rsidRPr="009D351F">
              <w:rPr>
                <w:rFonts w:eastAsiaTheme="majorEastAsia" w:hint="eastAsia"/>
              </w:rPr>
              <w:t>行使共同控制权。</w:t>
            </w:r>
          </w:p>
        </w:tc>
      </w:tr>
      <w:tr w:rsidR="003A1271" w:rsidRPr="001029E1" w:rsidTr="00EC641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参与集中的经营者简介</w:t>
            </w:r>
          </w:p>
        </w:tc>
        <w:tc>
          <w:tcPr>
            <w:tcW w:w="1796" w:type="dxa"/>
          </w:tcPr>
          <w:p w:rsidR="003A1271" w:rsidRPr="001029E1" w:rsidRDefault="00C43F73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、宝马股份公司</w:t>
            </w:r>
          </w:p>
        </w:tc>
        <w:tc>
          <w:tcPr>
            <w:tcW w:w="5153" w:type="dxa"/>
          </w:tcPr>
          <w:p w:rsidR="003A1271" w:rsidRPr="003A1271" w:rsidRDefault="00C43F73" w:rsidP="00C43F73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21"/>
                <w:szCs w:val="21"/>
              </w:rPr>
            </w:pPr>
            <w:r w:rsidRPr="003A1271">
              <w:rPr>
                <w:rFonts w:ascii="Times New Roman" w:hAnsi="Times New Roman" w:hint="eastAsia"/>
                <w:kern w:val="2"/>
                <w:sz w:val="21"/>
                <w:szCs w:val="21"/>
              </w:rPr>
              <w:t>宝马主要从事汽车的开发、制造和经销业务。宝马及其关联实体同时向个人和企业客户提供金融服务。</w:t>
            </w:r>
          </w:p>
        </w:tc>
      </w:tr>
      <w:tr w:rsidR="003A1271" w:rsidRPr="001029E1" w:rsidTr="00040903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</w:tcPr>
          <w:p w:rsidR="003A1271" w:rsidRPr="001029E1" w:rsidRDefault="00972CA1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 w:rsidR="003A1271" w:rsidRPr="001029E1">
              <w:rPr>
                <w:rFonts w:ascii="Times New Roman" w:hAnsi="Times New Roman" w:cs="Times New Roman"/>
              </w:rPr>
              <w:t>、</w:t>
            </w:r>
            <w:r w:rsidR="003A1271" w:rsidRPr="003A1271">
              <w:rPr>
                <w:rFonts w:ascii="Times New Roman" w:hAnsi="Times New Roman" w:cs="Times New Roman" w:hint="eastAsia"/>
                <w:lang w:val="en-US"/>
              </w:rPr>
              <w:t>戴姆勒</w:t>
            </w:r>
            <w:r w:rsidR="00C43F73">
              <w:rPr>
                <w:rFonts w:ascii="Times New Roman" w:hAnsi="Times New Roman" w:cs="Times New Roman" w:hint="eastAsia"/>
                <w:lang w:val="en-US"/>
              </w:rPr>
              <w:t>股份公司</w:t>
            </w:r>
          </w:p>
        </w:tc>
        <w:tc>
          <w:tcPr>
            <w:tcW w:w="5153" w:type="dxa"/>
          </w:tcPr>
          <w:p w:rsidR="003A1271" w:rsidRPr="003A1271" w:rsidRDefault="003A1271" w:rsidP="00C43F73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21"/>
                <w:szCs w:val="21"/>
              </w:rPr>
            </w:pPr>
            <w:r w:rsidRPr="003A1271">
              <w:rPr>
                <w:rFonts w:ascii="Times New Roman" w:hAnsi="Times New Roman" w:hint="eastAsia"/>
                <w:kern w:val="2"/>
                <w:sz w:val="21"/>
                <w:szCs w:val="21"/>
              </w:rPr>
              <w:t>戴姆勒主要从事乘用车和商用车的开发、生产和经销业务并提供汽车金融服务（包括融资、租赁、保险和车队管理服务）。</w:t>
            </w:r>
          </w:p>
        </w:tc>
      </w:tr>
      <w:tr w:rsidR="003A1271" w:rsidRPr="001029E1" w:rsidTr="00040903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</w:tcPr>
          <w:p w:rsidR="003A1271" w:rsidRPr="001029E1" w:rsidRDefault="003305E6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3</w:t>
            </w:r>
            <w:r w:rsidR="003A1271">
              <w:rPr>
                <w:rFonts w:ascii="Times New Roman" w:hAnsi="Times New Roman" w:cs="Times New Roman" w:hint="eastAsia"/>
                <w:lang w:val="en-US"/>
              </w:rPr>
              <w:t>、</w:t>
            </w:r>
            <w:r w:rsidR="003A1271" w:rsidRPr="003A1271">
              <w:rPr>
                <w:rFonts w:ascii="Times New Roman" w:hAnsi="Times New Roman" w:cs="Times New Roman" w:hint="eastAsia"/>
                <w:lang w:val="en-US"/>
              </w:rPr>
              <w:t>福特</w:t>
            </w:r>
            <w:r w:rsidR="00C43F73">
              <w:rPr>
                <w:rFonts w:ascii="Times New Roman" w:hAnsi="Times New Roman" w:cs="Times New Roman" w:hint="eastAsia"/>
                <w:lang w:val="en-US"/>
              </w:rPr>
              <w:t>汽车公司</w:t>
            </w:r>
          </w:p>
        </w:tc>
        <w:tc>
          <w:tcPr>
            <w:tcW w:w="5153" w:type="dxa"/>
          </w:tcPr>
          <w:p w:rsidR="003A1271" w:rsidRPr="003A1271" w:rsidRDefault="003A1271" w:rsidP="00C43F73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21"/>
                <w:szCs w:val="21"/>
              </w:rPr>
            </w:pPr>
            <w:r w:rsidRPr="003A1271">
              <w:rPr>
                <w:rFonts w:ascii="Times New Roman" w:hAnsi="Times New Roman" w:hint="eastAsia"/>
                <w:kern w:val="2"/>
                <w:sz w:val="21"/>
                <w:szCs w:val="21"/>
              </w:rPr>
              <w:t>福特主要从事乘用车和商用车的生产和经销服务，并提供金融服务和车辆租赁服务。</w:t>
            </w:r>
          </w:p>
        </w:tc>
      </w:tr>
      <w:tr w:rsidR="003A1271" w:rsidRPr="001029E1" w:rsidTr="00C43F73">
        <w:trPr>
          <w:trHeight w:val="1434"/>
        </w:trPr>
        <w:tc>
          <w:tcPr>
            <w:tcW w:w="1809" w:type="dxa"/>
            <w:vMerge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</w:tcPr>
          <w:p w:rsidR="003A1271" w:rsidRPr="001029E1" w:rsidRDefault="00972CA1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4</w:t>
            </w:r>
            <w:r w:rsidR="003A1271">
              <w:rPr>
                <w:rFonts w:ascii="Times New Roman" w:hAnsi="Times New Roman" w:cs="Times New Roman" w:hint="eastAsia"/>
                <w:lang w:val="en-US"/>
              </w:rPr>
              <w:t>、</w:t>
            </w:r>
            <w:r w:rsidR="003A1271" w:rsidRPr="003A1271">
              <w:rPr>
                <w:rFonts w:ascii="Times New Roman" w:hAnsi="Times New Roman" w:cs="Times New Roman" w:hint="eastAsia"/>
                <w:lang w:val="en-US"/>
              </w:rPr>
              <w:t>保时捷</w:t>
            </w:r>
            <w:r w:rsidR="00C43F73">
              <w:rPr>
                <w:rFonts w:ascii="Times New Roman" w:hAnsi="Times New Roman" w:cs="Times New Roman" w:hint="eastAsia"/>
                <w:lang w:val="en-US"/>
              </w:rPr>
              <w:t>股份公司</w:t>
            </w:r>
          </w:p>
        </w:tc>
        <w:tc>
          <w:tcPr>
            <w:tcW w:w="5153" w:type="dxa"/>
          </w:tcPr>
          <w:p w:rsidR="003A1271" w:rsidRPr="003A1271" w:rsidRDefault="003A1271" w:rsidP="00C43F73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21"/>
                <w:szCs w:val="21"/>
              </w:rPr>
            </w:pPr>
            <w:r w:rsidRPr="003A1271">
              <w:rPr>
                <w:rFonts w:ascii="Times New Roman" w:hAnsi="Times New Roman" w:hint="eastAsia"/>
                <w:kern w:val="2"/>
                <w:sz w:val="21"/>
                <w:szCs w:val="21"/>
              </w:rPr>
              <w:t>保时捷主要开展高性能跑车、多功能越野车和小轿车的设计、生产和经销业务。保时捷是大众集团的一部分。大众集团的业务包括设计、生产、供应和经销小客车和轻型商用车、卡车、大客车、摩托车和零部件以及提供相关金融、保险和融资服务。</w:t>
            </w:r>
          </w:p>
        </w:tc>
      </w:tr>
      <w:tr w:rsidR="003A1271" w:rsidRPr="001029E1" w:rsidTr="00AA7A19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3A1271" w:rsidRPr="001029E1" w:rsidRDefault="003A1271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1</w:t>
            </w:r>
            <w:r w:rsidRPr="001029E1">
              <w:rPr>
                <w:rFonts w:ascii="Times New Roman" w:hAnsi="Times New Roman" w:cs="Times New Roman"/>
              </w:rPr>
              <w:t>、在同一相关市场，所有参与集中的经营者所占市场份额之和小于</w:t>
            </w:r>
            <w:r w:rsidRPr="001029E1">
              <w:rPr>
                <w:rFonts w:ascii="Times New Roman" w:hAnsi="Times New Roman" w:cs="Times New Roman"/>
              </w:rPr>
              <w:t>15%</w:t>
            </w:r>
            <w:r w:rsidRPr="001029E1">
              <w:rPr>
                <w:rFonts w:ascii="Times New Roman" w:hAnsi="Times New Roman" w:cs="Times New Roman"/>
              </w:rPr>
              <w:t>。</w:t>
            </w:r>
          </w:p>
        </w:tc>
      </w:tr>
      <w:tr w:rsidR="003A1271" w:rsidRPr="001029E1" w:rsidTr="00AA7A19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3A1271" w:rsidRPr="001029E1" w:rsidRDefault="003A1271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2</w:t>
            </w:r>
            <w:r w:rsidRPr="001029E1">
              <w:rPr>
                <w:rFonts w:ascii="Times New Roman" w:hAnsi="Times New Roman" w:cs="Times New Roman"/>
              </w:rPr>
              <w:t>、存在上下游关系的参与集中的经营者，在上下游市场所占的市场份额均小于</w:t>
            </w:r>
            <w:r w:rsidRPr="001029E1">
              <w:rPr>
                <w:rFonts w:ascii="Times New Roman" w:hAnsi="Times New Roman" w:cs="Times New Roman"/>
              </w:rPr>
              <w:t>25%</w:t>
            </w:r>
            <w:r w:rsidRPr="001029E1">
              <w:rPr>
                <w:rFonts w:ascii="Times New Roman" w:hAnsi="Times New Roman" w:cs="Times New Roman"/>
              </w:rPr>
              <w:t>。</w:t>
            </w:r>
          </w:p>
        </w:tc>
      </w:tr>
      <w:tr w:rsidR="003A1271" w:rsidRPr="001029E1" w:rsidTr="00AA7A19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3A1271" w:rsidRPr="001029E1" w:rsidRDefault="003A1271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3</w:t>
            </w:r>
            <w:r w:rsidRPr="001029E1">
              <w:rPr>
                <w:rFonts w:ascii="Times New Roman" w:hAnsi="Times New Roman" w:cs="Times New Roman"/>
              </w:rPr>
              <w:t>、不在同一相关市场、也不存在上下游关系的参与集中的经营者，在与交易有关的每个市场所占的份额均小于</w:t>
            </w:r>
            <w:r w:rsidRPr="001029E1">
              <w:rPr>
                <w:rFonts w:ascii="Times New Roman" w:hAnsi="Times New Roman" w:cs="Times New Roman"/>
              </w:rPr>
              <w:t>25%</w:t>
            </w:r>
            <w:r w:rsidRPr="001029E1">
              <w:rPr>
                <w:rFonts w:ascii="Times New Roman" w:hAnsi="Times New Roman" w:cs="Times New Roman"/>
              </w:rPr>
              <w:t>。</w:t>
            </w:r>
          </w:p>
        </w:tc>
      </w:tr>
      <w:tr w:rsidR="003A1271" w:rsidRPr="001029E1" w:rsidTr="00B86A7A">
        <w:trPr>
          <w:trHeight w:val="532"/>
        </w:trPr>
        <w:tc>
          <w:tcPr>
            <w:tcW w:w="1809" w:type="dxa"/>
            <w:vMerge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3A1271" w:rsidRPr="001029E1" w:rsidRDefault="003A1271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FE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4</w:t>
            </w:r>
            <w:r w:rsidRPr="001029E1">
              <w:rPr>
                <w:rFonts w:ascii="Times New Roman" w:hAnsi="Times New Roman" w:cs="Times New Roman"/>
              </w:rPr>
              <w:t>、参与集中的经营者在中国境外设立合营企业，合营企业不在中国境内从事经济活动。</w:t>
            </w:r>
          </w:p>
        </w:tc>
      </w:tr>
      <w:tr w:rsidR="003A1271" w:rsidRPr="001029E1" w:rsidTr="00AA7A19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3A1271" w:rsidRPr="001029E1" w:rsidRDefault="003A1271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5</w:t>
            </w:r>
            <w:r w:rsidRPr="001029E1">
              <w:rPr>
                <w:rFonts w:ascii="Times New Roman" w:hAnsi="Times New Roman" w:cs="Times New Roman"/>
              </w:rPr>
              <w:t>、参与集中的经营者收购境外企业股权或资产的，该境外企业不在中国境内从事经济活动。</w:t>
            </w:r>
          </w:p>
        </w:tc>
      </w:tr>
      <w:tr w:rsidR="003A1271" w:rsidRPr="001029E1" w:rsidTr="00AA7A19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3A1271" w:rsidRPr="001029E1" w:rsidRDefault="003A1271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6</w:t>
            </w:r>
            <w:r w:rsidRPr="001029E1">
              <w:rPr>
                <w:rFonts w:ascii="Times New Roman" w:hAnsi="Times New Roman" w:cs="Times New Roman"/>
              </w:rPr>
              <w:t>、由两个以上的经营者共同控制的合营企业，通过集中被其中一个或一个以上经营者控制。</w:t>
            </w:r>
          </w:p>
        </w:tc>
      </w:tr>
      <w:tr w:rsidR="003A1271" w:rsidRPr="001029E1" w:rsidTr="00AA7A19">
        <w:tc>
          <w:tcPr>
            <w:tcW w:w="1809" w:type="dxa"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备注</w:t>
            </w:r>
          </w:p>
        </w:tc>
        <w:tc>
          <w:tcPr>
            <w:tcW w:w="6949" w:type="dxa"/>
            <w:gridSpan w:val="2"/>
          </w:tcPr>
          <w:p w:rsidR="003A1271" w:rsidRPr="001029E1" w:rsidRDefault="003A1271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无。</w:t>
            </w:r>
          </w:p>
        </w:tc>
      </w:tr>
    </w:tbl>
    <w:p w:rsidR="00DD6396" w:rsidRPr="00C43F73" w:rsidRDefault="00DD6396" w:rsidP="00C43F73"/>
    <w:sectPr w:rsidR="00DD6396" w:rsidRPr="00C43F73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02DA" w:rsidRDefault="008F02DA" w:rsidP="00A5306F">
      <w:pPr>
        <w:spacing w:after="0" w:line="240" w:lineRule="auto"/>
      </w:pPr>
      <w:r>
        <w:separator/>
      </w:r>
    </w:p>
  </w:endnote>
  <w:endnote w:type="continuationSeparator" w:id="0">
    <w:p w:rsidR="008F02DA" w:rsidRDefault="008F02DA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02DA" w:rsidRDefault="008F02DA" w:rsidP="00A5306F">
      <w:pPr>
        <w:spacing w:after="0" w:line="240" w:lineRule="auto"/>
      </w:pPr>
      <w:r>
        <w:separator/>
      </w:r>
    </w:p>
  </w:footnote>
  <w:footnote w:type="continuationSeparator" w:id="0">
    <w:p w:rsidR="008F02DA" w:rsidRDefault="008F02DA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3C3AF5"/>
    <w:multiLevelType w:val="hybridMultilevel"/>
    <w:tmpl w:val="2344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A5306F"/>
    <w:rsid w:val="00023982"/>
    <w:rsid w:val="0002711F"/>
    <w:rsid w:val="000418E3"/>
    <w:rsid w:val="00064C29"/>
    <w:rsid w:val="00066183"/>
    <w:rsid w:val="000661E9"/>
    <w:rsid w:val="00074058"/>
    <w:rsid w:val="000839F2"/>
    <w:rsid w:val="000860A2"/>
    <w:rsid w:val="000860C5"/>
    <w:rsid w:val="0008695F"/>
    <w:rsid w:val="00087D6D"/>
    <w:rsid w:val="00091B54"/>
    <w:rsid w:val="000A36B1"/>
    <w:rsid w:val="000C18E5"/>
    <w:rsid w:val="000E2884"/>
    <w:rsid w:val="000F42BF"/>
    <w:rsid w:val="001029E1"/>
    <w:rsid w:val="00113737"/>
    <w:rsid w:val="00142266"/>
    <w:rsid w:val="00170258"/>
    <w:rsid w:val="00175369"/>
    <w:rsid w:val="00182C34"/>
    <w:rsid w:val="00191996"/>
    <w:rsid w:val="00197BCC"/>
    <w:rsid w:val="001B5A55"/>
    <w:rsid w:val="001D4D74"/>
    <w:rsid w:val="002056BF"/>
    <w:rsid w:val="00215368"/>
    <w:rsid w:val="002617F7"/>
    <w:rsid w:val="002677D8"/>
    <w:rsid w:val="002A27F3"/>
    <w:rsid w:val="002B3632"/>
    <w:rsid w:val="002B41C8"/>
    <w:rsid w:val="002B67B5"/>
    <w:rsid w:val="002D1108"/>
    <w:rsid w:val="002D3661"/>
    <w:rsid w:val="002E17F6"/>
    <w:rsid w:val="002E3BCC"/>
    <w:rsid w:val="00316062"/>
    <w:rsid w:val="003305E6"/>
    <w:rsid w:val="00334FE7"/>
    <w:rsid w:val="00370FB1"/>
    <w:rsid w:val="0037245C"/>
    <w:rsid w:val="003746A2"/>
    <w:rsid w:val="00375C89"/>
    <w:rsid w:val="003A1271"/>
    <w:rsid w:val="003A5D08"/>
    <w:rsid w:val="003B450D"/>
    <w:rsid w:val="00402E3E"/>
    <w:rsid w:val="004201A6"/>
    <w:rsid w:val="0044133C"/>
    <w:rsid w:val="004A40CA"/>
    <w:rsid w:val="004A445C"/>
    <w:rsid w:val="004C6D2E"/>
    <w:rsid w:val="004E07A6"/>
    <w:rsid w:val="004E4B50"/>
    <w:rsid w:val="005152DE"/>
    <w:rsid w:val="005224B2"/>
    <w:rsid w:val="00532DF1"/>
    <w:rsid w:val="00553DD3"/>
    <w:rsid w:val="00563FFD"/>
    <w:rsid w:val="00570552"/>
    <w:rsid w:val="00582916"/>
    <w:rsid w:val="005B02C3"/>
    <w:rsid w:val="005B6265"/>
    <w:rsid w:val="005D392E"/>
    <w:rsid w:val="005D7E18"/>
    <w:rsid w:val="00612EA5"/>
    <w:rsid w:val="00653F80"/>
    <w:rsid w:val="00680D37"/>
    <w:rsid w:val="0069400F"/>
    <w:rsid w:val="006B115A"/>
    <w:rsid w:val="006B3173"/>
    <w:rsid w:val="006C07EE"/>
    <w:rsid w:val="006C1C7B"/>
    <w:rsid w:val="006D6A1D"/>
    <w:rsid w:val="006E3550"/>
    <w:rsid w:val="006F39D9"/>
    <w:rsid w:val="006F7CBA"/>
    <w:rsid w:val="007063A5"/>
    <w:rsid w:val="00715C23"/>
    <w:rsid w:val="00720EC6"/>
    <w:rsid w:val="00721D2F"/>
    <w:rsid w:val="007663D6"/>
    <w:rsid w:val="0077295A"/>
    <w:rsid w:val="00774458"/>
    <w:rsid w:val="00783A49"/>
    <w:rsid w:val="007929BA"/>
    <w:rsid w:val="00792E51"/>
    <w:rsid w:val="007C3328"/>
    <w:rsid w:val="007D75F4"/>
    <w:rsid w:val="007F2764"/>
    <w:rsid w:val="00815CF8"/>
    <w:rsid w:val="0082508A"/>
    <w:rsid w:val="0082591A"/>
    <w:rsid w:val="00826312"/>
    <w:rsid w:val="00826506"/>
    <w:rsid w:val="00895B87"/>
    <w:rsid w:val="008A764D"/>
    <w:rsid w:val="008D144E"/>
    <w:rsid w:val="008E494F"/>
    <w:rsid w:val="008F02DA"/>
    <w:rsid w:val="0091263F"/>
    <w:rsid w:val="00922AC2"/>
    <w:rsid w:val="009260DA"/>
    <w:rsid w:val="00930E2A"/>
    <w:rsid w:val="0093164E"/>
    <w:rsid w:val="00935670"/>
    <w:rsid w:val="00945C50"/>
    <w:rsid w:val="00950B17"/>
    <w:rsid w:val="00953C0F"/>
    <w:rsid w:val="00972A08"/>
    <w:rsid w:val="00972CA1"/>
    <w:rsid w:val="00976A3C"/>
    <w:rsid w:val="009870A6"/>
    <w:rsid w:val="009A66FD"/>
    <w:rsid w:val="009B4F19"/>
    <w:rsid w:val="009C31BB"/>
    <w:rsid w:val="009D55CA"/>
    <w:rsid w:val="00A0579E"/>
    <w:rsid w:val="00A34ADE"/>
    <w:rsid w:val="00A34D83"/>
    <w:rsid w:val="00A47788"/>
    <w:rsid w:val="00A5306F"/>
    <w:rsid w:val="00A62EE7"/>
    <w:rsid w:val="00A67952"/>
    <w:rsid w:val="00A831FD"/>
    <w:rsid w:val="00AA2F59"/>
    <w:rsid w:val="00AA7A19"/>
    <w:rsid w:val="00AB1EA5"/>
    <w:rsid w:val="00AD1C2B"/>
    <w:rsid w:val="00AD52B4"/>
    <w:rsid w:val="00AE0F9F"/>
    <w:rsid w:val="00AF0CA2"/>
    <w:rsid w:val="00AF3A86"/>
    <w:rsid w:val="00B06C1D"/>
    <w:rsid w:val="00B43252"/>
    <w:rsid w:val="00B731FC"/>
    <w:rsid w:val="00B83CD0"/>
    <w:rsid w:val="00B86A7A"/>
    <w:rsid w:val="00B9434A"/>
    <w:rsid w:val="00BA48AB"/>
    <w:rsid w:val="00BB7E5B"/>
    <w:rsid w:val="00BC0D10"/>
    <w:rsid w:val="00BD17F8"/>
    <w:rsid w:val="00BE466D"/>
    <w:rsid w:val="00BF016A"/>
    <w:rsid w:val="00BF2251"/>
    <w:rsid w:val="00BF5029"/>
    <w:rsid w:val="00C03537"/>
    <w:rsid w:val="00C064A8"/>
    <w:rsid w:val="00C43F73"/>
    <w:rsid w:val="00C549B1"/>
    <w:rsid w:val="00C66F53"/>
    <w:rsid w:val="00C87663"/>
    <w:rsid w:val="00CD025F"/>
    <w:rsid w:val="00CD06A3"/>
    <w:rsid w:val="00CF0F7F"/>
    <w:rsid w:val="00D007B3"/>
    <w:rsid w:val="00D11851"/>
    <w:rsid w:val="00D24222"/>
    <w:rsid w:val="00D350D3"/>
    <w:rsid w:val="00D4315F"/>
    <w:rsid w:val="00D63B59"/>
    <w:rsid w:val="00D850EB"/>
    <w:rsid w:val="00DA34F8"/>
    <w:rsid w:val="00DB482A"/>
    <w:rsid w:val="00DC3F9E"/>
    <w:rsid w:val="00DD6396"/>
    <w:rsid w:val="00E01704"/>
    <w:rsid w:val="00E079F8"/>
    <w:rsid w:val="00E21DA9"/>
    <w:rsid w:val="00E64AA3"/>
    <w:rsid w:val="00E82954"/>
    <w:rsid w:val="00EA2905"/>
    <w:rsid w:val="00EB3068"/>
    <w:rsid w:val="00EC003A"/>
    <w:rsid w:val="00EE6EB7"/>
    <w:rsid w:val="00EE7E6F"/>
    <w:rsid w:val="00EF2592"/>
    <w:rsid w:val="00F0519E"/>
    <w:rsid w:val="00F31B81"/>
    <w:rsid w:val="00F35C37"/>
    <w:rsid w:val="00F45D26"/>
    <w:rsid w:val="00F8134E"/>
    <w:rsid w:val="00F8299C"/>
    <w:rsid w:val="00F93F1A"/>
    <w:rsid w:val="00FB7123"/>
    <w:rsid w:val="00FD1E22"/>
    <w:rsid w:val="00FD7E60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uiPriority w:val="99"/>
    <w:rsid w:val="00AD52B4"/>
    <w:rPr>
      <w:color w:val="0000FF"/>
      <w:u w:val="single"/>
    </w:rPr>
  </w:style>
  <w:style w:type="paragraph" w:styleId="a9">
    <w:name w:val="Normal Indent"/>
    <w:basedOn w:val="a"/>
    <w:link w:val="Char2"/>
    <w:uiPriority w:val="99"/>
    <w:unhideWhenUsed/>
    <w:rsid w:val="00563FFD"/>
    <w:pPr>
      <w:spacing w:after="0" w:line="240" w:lineRule="auto"/>
      <w:ind w:left="720"/>
    </w:pPr>
    <w:rPr>
      <w:rFonts w:ascii="Calibri" w:eastAsia="MS Mincho" w:hAnsi="Calibri" w:cs="Times New Roman"/>
      <w:sz w:val="20"/>
      <w:szCs w:val="20"/>
      <w:lang w:eastAsia="en-US"/>
    </w:rPr>
  </w:style>
  <w:style w:type="character" w:customStyle="1" w:styleId="Char2">
    <w:name w:val="正文缩进 Char"/>
    <w:link w:val="a9"/>
    <w:uiPriority w:val="99"/>
    <w:rsid w:val="00563FFD"/>
    <w:rPr>
      <w:rFonts w:ascii="Calibri" w:eastAsia="MS Mincho" w:hAnsi="Calibri" w:cs="Times New Roman"/>
      <w:sz w:val="20"/>
      <w:szCs w:val="20"/>
      <w:lang w:eastAsia="en-US"/>
    </w:rPr>
  </w:style>
  <w:style w:type="paragraph" w:styleId="aa">
    <w:name w:val="Revision"/>
    <w:hidden/>
    <w:uiPriority w:val="99"/>
    <w:semiHidden/>
    <w:rsid w:val="00563FFD"/>
    <w:pPr>
      <w:spacing w:after="0" w:line="240" w:lineRule="auto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b">
    <w:name w:val="Balloon Text"/>
    <w:basedOn w:val="a"/>
    <w:link w:val="Char3"/>
    <w:uiPriority w:val="99"/>
    <w:semiHidden/>
    <w:unhideWhenUsed/>
    <w:rsid w:val="00BF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b"/>
    <w:uiPriority w:val="99"/>
    <w:semiHidden/>
    <w:rsid w:val="00BF01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Header Char"/>
    <w:basedOn w:val="a0"/>
    <w:link w:val="a3"/>
    <w:uiPriority w:val="99"/>
    <w:semiHidden/>
    <w:rsid w:val="00A5306F"/>
  </w:style>
  <w:style w:type="paragraph" w:styleId="a4">
    <w:name w:val="footer"/>
    <w:basedOn w:val="a"/>
    <w:link w:val="Char0"/>
    <w:uiPriority w:val="99"/>
    <w:semiHidden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Footer Char"/>
    <w:basedOn w:val="a0"/>
    <w:link w:val="a4"/>
    <w:uiPriority w:val="99"/>
    <w:semiHidden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1">
    <w:name w:val="Footnote Text Char"/>
    <w:aliases w:val="Car Char,fn Char,Footnote Text Char Car Char,ALTS FOOTNOTE Char1,Mod-Footnote Text Char,ALTS FOOTNOTE Char Char,Footnote Text Char1 Char Char,Footnote Text Char Char1 Char Char,ft Char Char Char Char,Texto nota pie Car Char,F Char"/>
    <w:basedOn w:val="a0"/>
    <w:link w:val="a5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uiPriority w:val="99"/>
    <w:rsid w:val="00AD52B4"/>
    <w:rPr>
      <w:color w:val="0000FF"/>
      <w:u w:val="single"/>
    </w:rPr>
  </w:style>
  <w:style w:type="paragraph" w:styleId="a9">
    <w:name w:val="Normal Indent"/>
    <w:basedOn w:val="a"/>
    <w:link w:val="Char2"/>
    <w:uiPriority w:val="99"/>
    <w:unhideWhenUsed/>
    <w:rsid w:val="00563FFD"/>
    <w:pPr>
      <w:spacing w:after="0" w:line="240" w:lineRule="auto"/>
      <w:ind w:left="720"/>
    </w:pPr>
    <w:rPr>
      <w:rFonts w:ascii="Calibri" w:eastAsia="MS Mincho" w:hAnsi="Calibri" w:cs="Times New Roman"/>
      <w:sz w:val="20"/>
      <w:szCs w:val="20"/>
      <w:lang w:eastAsia="en-US"/>
    </w:rPr>
  </w:style>
  <w:style w:type="character" w:customStyle="1" w:styleId="Char2">
    <w:name w:val="Normal Indent Char"/>
    <w:link w:val="a9"/>
    <w:uiPriority w:val="99"/>
    <w:rsid w:val="00563FFD"/>
    <w:rPr>
      <w:rFonts w:ascii="Calibri" w:eastAsia="MS Mincho" w:hAnsi="Calibri" w:cs="Times New Roman"/>
      <w:sz w:val="20"/>
      <w:szCs w:val="20"/>
      <w:lang w:eastAsia="en-US"/>
    </w:rPr>
  </w:style>
  <w:style w:type="paragraph" w:styleId="aa">
    <w:name w:val="Revision"/>
    <w:hidden/>
    <w:uiPriority w:val="99"/>
    <w:semiHidden/>
    <w:rsid w:val="00563FFD"/>
    <w:pPr>
      <w:spacing w:after="0" w:line="240" w:lineRule="auto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b">
    <w:name w:val="Balloon Text"/>
    <w:basedOn w:val="a"/>
    <w:link w:val="Char3"/>
    <w:uiPriority w:val="99"/>
    <w:semiHidden/>
    <w:unhideWhenUsed/>
    <w:rsid w:val="00BF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Balloon Text Char"/>
    <w:basedOn w:val="a0"/>
    <w:link w:val="ab"/>
    <w:uiPriority w:val="99"/>
    <w:semiHidden/>
    <w:rsid w:val="00BF0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Zhong Lun</cp:lastModifiedBy>
  <cp:revision>12</cp:revision>
  <cp:lastPrinted>2017-03-21T02:56:00Z</cp:lastPrinted>
  <dcterms:created xsi:type="dcterms:W3CDTF">2017-03-20T14:29:00Z</dcterms:created>
  <dcterms:modified xsi:type="dcterms:W3CDTF">2017-05-26T11:11:00Z</dcterms:modified>
</cp:coreProperties>
</file>