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1215" w:rsidRDefault="00EF1215" w:rsidP="00EF1215">
      <w:pPr>
        <w:spacing w:line="360" w:lineRule="auto"/>
        <w:jc w:val="center"/>
        <w:rPr>
          <w:rFonts w:ascii="Times New Roman" w:eastAsia="华文楷体" w:hAnsi="Times New Roman"/>
          <w:sz w:val="32"/>
          <w:szCs w:val="32"/>
        </w:rPr>
      </w:pPr>
      <w:r>
        <w:rPr>
          <w:rFonts w:ascii="Times New Roman" w:eastAsia="华文楷体" w:hAnsi="Times New Roman" w:hint="eastAsia"/>
          <w:sz w:val="32"/>
          <w:szCs w:val="32"/>
        </w:rPr>
        <w:t>经营者集中简易案件公示表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7"/>
        <w:gridCol w:w="2079"/>
        <w:gridCol w:w="5154"/>
      </w:tblGrid>
      <w:tr w:rsidR="00EF1215" w:rsidTr="00EF1215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EF1215" w:rsidRDefault="00EF1215">
            <w:pPr>
              <w:adjustRightInd w:val="0"/>
              <w:snapToGrid w:val="0"/>
              <w:spacing w:after="120"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>案件名称</w:t>
            </w:r>
          </w:p>
        </w:tc>
        <w:tc>
          <w:tcPr>
            <w:tcW w:w="7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1215" w:rsidRDefault="00EF1215">
            <w:pPr>
              <w:adjustRightInd w:val="0"/>
              <w:snapToGrid w:val="0"/>
              <w:spacing w:after="120"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>浙江海越股份有限公司收购天津北方石油有限公司股权案</w:t>
            </w:r>
          </w:p>
        </w:tc>
      </w:tr>
      <w:tr w:rsidR="00EF1215" w:rsidTr="00EF1215">
        <w:trPr>
          <w:trHeight w:val="99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EF1215" w:rsidRDefault="00EF1215">
            <w:pPr>
              <w:adjustRightInd w:val="0"/>
              <w:snapToGrid w:val="0"/>
              <w:spacing w:after="120"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>交易概况（限200字内）</w:t>
            </w:r>
          </w:p>
        </w:tc>
        <w:tc>
          <w:tcPr>
            <w:tcW w:w="7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1215" w:rsidRDefault="00EF1215">
            <w:pPr>
              <w:adjustRightInd w:val="0"/>
              <w:snapToGrid w:val="0"/>
              <w:spacing w:after="120"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>本交易中，浙江海越股份有限公司拟通过非公开发行股份的方式购买海</w:t>
            </w:r>
            <w:proofErr w:type="gramStart"/>
            <w:r>
              <w:rPr>
                <w:rFonts w:ascii="楷体" w:eastAsia="楷体" w:hAnsi="楷体" w:hint="eastAsia"/>
                <w:sz w:val="24"/>
                <w:szCs w:val="24"/>
              </w:rPr>
              <w:t>航云商</w:t>
            </w:r>
            <w:proofErr w:type="gramEnd"/>
            <w:r>
              <w:rPr>
                <w:rFonts w:ascii="楷体" w:eastAsia="楷体" w:hAnsi="楷体" w:hint="eastAsia"/>
                <w:sz w:val="24"/>
                <w:szCs w:val="24"/>
              </w:rPr>
              <w:t>投资有限公司、萍乡中天创富企业管理合伙企业</w:t>
            </w:r>
          </w:p>
          <w:p w:rsidR="00EF1215" w:rsidRDefault="00EF1215">
            <w:pPr>
              <w:adjustRightInd w:val="0"/>
              <w:snapToGrid w:val="0"/>
              <w:spacing w:after="120"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>（有限合伙）、天津惠宝生科技有限公司分别持有的天津北方石油有限公司80.00%、19.00%及1.00%的股权，北方石油100%股权的评估值为104,544.51万元。</w:t>
            </w:r>
          </w:p>
        </w:tc>
      </w:tr>
      <w:tr w:rsidR="00EF1215" w:rsidTr="00EF1215">
        <w:trPr>
          <w:trHeight w:val="468"/>
        </w:trPr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EF1215" w:rsidRDefault="00EF1215">
            <w:pPr>
              <w:adjustRightInd w:val="0"/>
              <w:snapToGrid w:val="0"/>
              <w:spacing w:after="120"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>参与集中的经营者简介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1215" w:rsidRDefault="00EF1215">
            <w:pPr>
              <w:adjustRightInd w:val="0"/>
              <w:snapToGrid w:val="0"/>
              <w:spacing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 xml:space="preserve">1. </w:t>
            </w:r>
            <w:r>
              <w:rPr>
                <w:rFonts w:ascii="楷体" w:eastAsia="楷体" w:hAnsi="楷体" w:hint="eastAsia"/>
                <w:kern w:val="0"/>
                <w:sz w:val="24"/>
                <w:szCs w:val="24"/>
              </w:rPr>
              <w:t>浙江海越股份有限公司，“简称海越股份”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1215" w:rsidRDefault="00EF1215">
            <w:pPr>
              <w:adjustRightInd w:val="0"/>
              <w:snapToGrid w:val="0"/>
              <w:spacing w:after="120"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>海</w:t>
            </w:r>
            <w:proofErr w:type="gramStart"/>
            <w:r>
              <w:rPr>
                <w:rFonts w:ascii="楷体" w:eastAsia="楷体" w:hAnsi="楷体" w:hint="eastAsia"/>
                <w:sz w:val="24"/>
                <w:szCs w:val="24"/>
              </w:rPr>
              <w:t>越股份</w:t>
            </w:r>
            <w:proofErr w:type="gramEnd"/>
            <w:r>
              <w:rPr>
                <w:rFonts w:ascii="楷体" w:eastAsia="楷体" w:hAnsi="楷体" w:hint="eastAsia"/>
                <w:sz w:val="24"/>
                <w:szCs w:val="24"/>
              </w:rPr>
              <w:t>主要从事车用汽油批发及零售、轻柴油的批发及零售以及异辛烷的生产和批发</w:t>
            </w:r>
            <w:r w:rsidR="00753018">
              <w:rPr>
                <w:rFonts w:ascii="楷体" w:eastAsia="楷体" w:hAnsi="楷体" w:hint="eastAsia"/>
                <w:sz w:val="24"/>
                <w:szCs w:val="24"/>
              </w:rPr>
              <w:t>等</w:t>
            </w:r>
            <w:r>
              <w:rPr>
                <w:rFonts w:ascii="楷体" w:eastAsia="楷体" w:hAnsi="楷体" w:hint="eastAsia"/>
                <w:sz w:val="24"/>
                <w:szCs w:val="24"/>
              </w:rPr>
              <w:t>业务。</w:t>
            </w:r>
          </w:p>
        </w:tc>
      </w:tr>
      <w:tr w:rsidR="00EF1215" w:rsidTr="00EF1215">
        <w:trPr>
          <w:trHeight w:val="404"/>
        </w:trPr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1215" w:rsidRDefault="00EF1215">
            <w:pPr>
              <w:widowControl/>
              <w:jc w:val="left"/>
              <w:rPr>
                <w:rFonts w:ascii="楷体" w:eastAsia="楷体" w:hAnsi="楷体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1215" w:rsidRDefault="00EF1215">
            <w:pPr>
              <w:adjustRightInd w:val="0"/>
              <w:snapToGrid w:val="0"/>
              <w:spacing w:line="360" w:lineRule="auto"/>
              <w:jc w:val="left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 xml:space="preserve">2. </w:t>
            </w:r>
            <w:r>
              <w:rPr>
                <w:rFonts w:ascii="楷体" w:eastAsia="楷体" w:hAnsi="楷体" w:hint="eastAsia"/>
                <w:kern w:val="0"/>
                <w:sz w:val="24"/>
                <w:szCs w:val="24"/>
              </w:rPr>
              <w:t>天津北方石油有限公司，“简称北方石油”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1215" w:rsidRDefault="00EF1215">
            <w:pPr>
              <w:adjustRightInd w:val="0"/>
              <w:snapToGrid w:val="0"/>
              <w:spacing w:after="120"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>北方石油主要从事石油化工产品仓储、车用的汽油的批发、轻柴油的批发、MTBE的批发、异辛烷的批发以及二甲苯的批发</w:t>
            </w:r>
            <w:r w:rsidR="00753018">
              <w:rPr>
                <w:rFonts w:ascii="楷体" w:eastAsia="楷体" w:hAnsi="楷体" w:hint="eastAsia"/>
                <w:sz w:val="24"/>
                <w:szCs w:val="24"/>
              </w:rPr>
              <w:t>等</w:t>
            </w:r>
            <w:bookmarkStart w:id="0" w:name="_GoBack"/>
            <w:bookmarkEnd w:id="0"/>
            <w:r>
              <w:rPr>
                <w:rFonts w:ascii="楷体" w:eastAsia="楷体" w:hAnsi="楷体" w:hint="eastAsia"/>
                <w:sz w:val="24"/>
                <w:szCs w:val="24"/>
              </w:rPr>
              <w:t>业务。</w:t>
            </w:r>
          </w:p>
        </w:tc>
      </w:tr>
      <w:tr w:rsidR="00EF1215" w:rsidTr="00EF1215">
        <w:trPr>
          <w:trHeight w:val="279"/>
        </w:trPr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EF1215" w:rsidRDefault="00EF1215">
            <w:pPr>
              <w:adjustRightInd w:val="0"/>
              <w:snapToGrid w:val="0"/>
              <w:spacing w:after="120"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1215" w:rsidRDefault="00EF1215">
            <w:pPr>
              <w:adjustRightInd w:val="0"/>
              <w:snapToGrid w:val="0"/>
              <w:spacing w:after="120"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/>
                <w:sz w:val="24"/>
                <w:szCs w:val="24"/>
              </w:rPr>
              <w:sym w:font="Wingdings" w:char="00FE"/>
            </w:r>
            <w:r>
              <w:rPr>
                <w:rFonts w:ascii="楷体" w:eastAsia="楷体" w:hAnsi="楷体" w:hint="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EF1215" w:rsidTr="00EF1215">
        <w:trPr>
          <w:trHeight w:val="330"/>
        </w:trPr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1215" w:rsidRDefault="00EF1215">
            <w:pPr>
              <w:widowControl/>
              <w:jc w:val="left"/>
              <w:rPr>
                <w:rFonts w:ascii="楷体" w:eastAsia="楷体" w:hAnsi="楷体"/>
                <w:sz w:val="24"/>
                <w:szCs w:val="24"/>
              </w:rPr>
            </w:pPr>
          </w:p>
        </w:tc>
        <w:tc>
          <w:tcPr>
            <w:tcW w:w="7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1215" w:rsidRDefault="00EF1215">
            <w:pPr>
              <w:adjustRightInd w:val="0"/>
              <w:snapToGrid w:val="0"/>
              <w:spacing w:after="120"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/>
                <w:sz w:val="24"/>
                <w:szCs w:val="24"/>
              </w:rPr>
              <w:sym w:font="Wingdings" w:char="00FE"/>
            </w:r>
            <w:r>
              <w:rPr>
                <w:rFonts w:ascii="楷体" w:eastAsia="楷体" w:hAnsi="楷体" w:hint="eastAsia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EF1215" w:rsidTr="00EF1215">
        <w:trPr>
          <w:trHeight w:val="285"/>
        </w:trPr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1215" w:rsidRDefault="00EF1215">
            <w:pPr>
              <w:widowControl/>
              <w:jc w:val="left"/>
              <w:rPr>
                <w:rFonts w:ascii="楷体" w:eastAsia="楷体" w:hAnsi="楷体"/>
                <w:sz w:val="24"/>
                <w:szCs w:val="24"/>
              </w:rPr>
            </w:pPr>
          </w:p>
        </w:tc>
        <w:tc>
          <w:tcPr>
            <w:tcW w:w="7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1215" w:rsidRDefault="00EF1215">
            <w:pPr>
              <w:adjustRightInd w:val="0"/>
              <w:snapToGrid w:val="0"/>
              <w:spacing w:after="120"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/>
                <w:sz w:val="24"/>
                <w:szCs w:val="24"/>
              </w:rPr>
              <w:sym w:font="Wingdings" w:char="00FE"/>
            </w:r>
            <w:r>
              <w:rPr>
                <w:rFonts w:ascii="楷体" w:eastAsia="楷体" w:hAnsi="楷体" w:hint="eastAsia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EF1215" w:rsidTr="00EF1215">
        <w:trPr>
          <w:trHeight w:val="870"/>
        </w:trPr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1215" w:rsidRDefault="00EF1215">
            <w:pPr>
              <w:widowControl/>
              <w:jc w:val="left"/>
              <w:rPr>
                <w:rFonts w:ascii="楷体" w:eastAsia="楷体" w:hAnsi="楷体"/>
                <w:sz w:val="24"/>
                <w:szCs w:val="24"/>
              </w:rPr>
            </w:pPr>
          </w:p>
        </w:tc>
        <w:tc>
          <w:tcPr>
            <w:tcW w:w="7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1215" w:rsidRDefault="00EF1215">
            <w:pPr>
              <w:adjustRightInd w:val="0"/>
              <w:snapToGrid w:val="0"/>
              <w:spacing w:after="120"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 w:rsidR="00EF1215" w:rsidTr="00EF1215">
        <w:trPr>
          <w:trHeight w:val="264"/>
        </w:trPr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1215" w:rsidRDefault="00EF1215">
            <w:pPr>
              <w:widowControl/>
              <w:jc w:val="left"/>
              <w:rPr>
                <w:rFonts w:ascii="楷体" w:eastAsia="楷体" w:hAnsi="楷体"/>
                <w:sz w:val="24"/>
                <w:szCs w:val="24"/>
              </w:rPr>
            </w:pPr>
          </w:p>
        </w:tc>
        <w:tc>
          <w:tcPr>
            <w:tcW w:w="7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1215" w:rsidRDefault="00EF1215">
            <w:pPr>
              <w:adjustRightInd w:val="0"/>
              <w:snapToGrid w:val="0"/>
              <w:spacing w:after="120"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 w:rsidR="00EF1215" w:rsidTr="00EF1215">
        <w:trPr>
          <w:trHeight w:val="345"/>
        </w:trPr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1215" w:rsidRDefault="00EF1215">
            <w:pPr>
              <w:widowControl/>
              <w:jc w:val="left"/>
              <w:rPr>
                <w:rFonts w:ascii="楷体" w:eastAsia="楷体" w:hAnsi="楷体"/>
                <w:sz w:val="24"/>
                <w:szCs w:val="24"/>
              </w:rPr>
            </w:pPr>
          </w:p>
        </w:tc>
        <w:tc>
          <w:tcPr>
            <w:tcW w:w="7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1215" w:rsidRDefault="00EF1215">
            <w:pPr>
              <w:adjustRightInd w:val="0"/>
              <w:snapToGrid w:val="0"/>
              <w:spacing w:after="120"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 w:rsidR="00EF1215" w:rsidTr="00EF1215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EF1215" w:rsidRDefault="00EF1215">
            <w:pPr>
              <w:adjustRightInd w:val="0"/>
              <w:snapToGrid w:val="0"/>
              <w:spacing w:after="120" w:line="360" w:lineRule="auto"/>
              <w:rPr>
                <w:rFonts w:ascii="楷体" w:eastAsia="楷体" w:hAnsi="楷体"/>
                <w:sz w:val="24"/>
                <w:szCs w:val="24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>备注</w:t>
            </w:r>
          </w:p>
        </w:tc>
        <w:tc>
          <w:tcPr>
            <w:tcW w:w="7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1215" w:rsidRDefault="00EF1215">
            <w:pPr>
              <w:adjustRightInd w:val="0"/>
              <w:snapToGrid w:val="0"/>
              <w:spacing w:after="120" w:line="360" w:lineRule="auto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  <w:sz w:val="24"/>
                <w:szCs w:val="24"/>
              </w:rPr>
              <w:t>相关产品市场、地域市场及市场份额：</w:t>
            </w:r>
          </w:p>
          <w:tbl>
            <w:tblPr>
              <w:tblW w:w="68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5"/>
              <w:gridCol w:w="1627"/>
              <w:gridCol w:w="1586"/>
              <w:gridCol w:w="1586"/>
              <w:gridCol w:w="1586"/>
            </w:tblGrid>
            <w:tr w:rsidR="00EF1215">
              <w:trPr>
                <w:trHeight w:val="300"/>
                <w:jc w:val="center"/>
              </w:trPr>
              <w:tc>
                <w:tcPr>
                  <w:tcW w:w="4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/>
                      <w:bCs/>
                      <w:szCs w:val="24"/>
                    </w:rPr>
                    <w:lastRenderedPageBreak/>
                    <w:t>序号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/>
                      <w:bCs/>
                      <w:szCs w:val="24"/>
                    </w:rPr>
                    <w:t>相关产品市场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/>
                      <w:bCs/>
                      <w:szCs w:val="24"/>
                    </w:rPr>
                    <w:t>相关地域市场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/>
                      <w:bCs/>
                      <w:szCs w:val="24"/>
                    </w:rPr>
                    <w:t>经营者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/>
                      <w:bCs/>
                      <w:szCs w:val="24"/>
                    </w:rPr>
                    <w:t>市场份额</w:t>
                  </w:r>
                </w:p>
              </w:tc>
            </w:tr>
            <w:tr w:rsidR="00EF1215">
              <w:trPr>
                <w:trHeight w:val="465"/>
                <w:jc w:val="center"/>
              </w:trPr>
              <w:tc>
                <w:tcPr>
                  <w:tcW w:w="45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1</w:t>
                  </w:r>
                </w:p>
              </w:tc>
              <w:tc>
                <w:tcPr>
                  <w:tcW w:w="162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车用汽油批发市场</w:t>
                  </w:r>
                </w:p>
              </w:tc>
              <w:tc>
                <w:tcPr>
                  <w:tcW w:w="158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全国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海</w:t>
                  </w:r>
                  <w:proofErr w:type="gramStart"/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越股份</w:t>
                  </w:r>
                  <w:proofErr w:type="gramEnd"/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</w:rPr>
                  </w:pPr>
                  <w:r>
                    <w:rPr>
                      <w:rFonts w:ascii="楷体" w:eastAsia="楷体" w:hAnsi="楷体" w:hint="eastAsia"/>
                    </w:rPr>
                    <w:t>0-1%</w:t>
                  </w:r>
                </w:p>
              </w:tc>
            </w:tr>
            <w:tr w:rsidR="00EF1215">
              <w:trPr>
                <w:trHeight w:val="465"/>
                <w:jc w:val="center"/>
              </w:trPr>
              <w:tc>
                <w:tcPr>
                  <w:tcW w:w="45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widowControl/>
                    <w:jc w:val="left"/>
                    <w:rPr>
                      <w:rFonts w:ascii="楷体" w:eastAsia="楷体" w:hAnsi="楷体"/>
                      <w:bCs/>
                      <w:szCs w:val="24"/>
                    </w:rPr>
                  </w:pPr>
                </w:p>
              </w:tc>
              <w:tc>
                <w:tcPr>
                  <w:tcW w:w="1626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widowControl/>
                    <w:jc w:val="left"/>
                    <w:rPr>
                      <w:rFonts w:ascii="楷体" w:eastAsia="楷体" w:hAnsi="楷体"/>
                      <w:bCs/>
                      <w:szCs w:val="24"/>
                    </w:rPr>
                  </w:pPr>
                </w:p>
              </w:tc>
              <w:tc>
                <w:tcPr>
                  <w:tcW w:w="158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widowControl/>
                    <w:jc w:val="left"/>
                    <w:rPr>
                      <w:rFonts w:ascii="楷体" w:eastAsia="楷体" w:hAnsi="楷体"/>
                      <w:bCs/>
                      <w:szCs w:val="24"/>
                    </w:rPr>
                  </w:pP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</w:rPr>
                  </w:pPr>
                  <w:r>
                    <w:rPr>
                      <w:rFonts w:ascii="楷体" w:eastAsia="楷体" w:hAnsi="楷体" w:hint="eastAsia"/>
                    </w:rPr>
                    <w:t>北方石油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</w:rPr>
                  </w:pPr>
                  <w:r>
                    <w:rPr>
                      <w:rFonts w:ascii="楷体" w:eastAsia="楷体" w:hAnsi="楷体" w:hint="eastAsia"/>
                    </w:rPr>
                    <w:t>0-1%</w:t>
                  </w:r>
                </w:p>
              </w:tc>
            </w:tr>
            <w:tr w:rsidR="00EF1215">
              <w:trPr>
                <w:trHeight w:val="465"/>
                <w:jc w:val="center"/>
              </w:trPr>
              <w:tc>
                <w:tcPr>
                  <w:tcW w:w="45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2</w:t>
                  </w:r>
                </w:p>
              </w:tc>
              <w:tc>
                <w:tcPr>
                  <w:tcW w:w="162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轻柴油批发市场</w:t>
                  </w:r>
                </w:p>
              </w:tc>
              <w:tc>
                <w:tcPr>
                  <w:tcW w:w="158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全国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海</w:t>
                  </w:r>
                  <w:proofErr w:type="gramStart"/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越股份</w:t>
                  </w:r>
                  <w:proofErr w:type="gramEnd"/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</w:rPr>
                  </w:pPr>
                  <w:r>
                    <w:rPr>
                      <w:rFonts w:ascii="楷体" w:eastAsia="楷体" w:hAnsi="楷体" w:hint="eastAsia"/>
                    </w:rPr>
                    <w:t>0-1%</w:t>
                  </w:r>
                </w:p>
              </w:tc>
            </w:tr>
            <w:tr w:rsidR="00EF1215">
              <w:trPr>
                <w:trHeight w:val="465"/>
                <w:jc w:val="center"/>
              </w:trPr>
              <w:tc>
                <w:tcPr>
                  <w:tcW w:w="45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widowControl/>
                    <w:jc w:val="left"/>
                    <w:rPr>
                      <w:rFonts w:ascii="楷体" w:eastAsia="楷体" w:hAnsi="楷体"/>
                      <w:bCs/>
                      <w:szCs w:val="24"/>
                    </w:rPr>
                  </w:pPr>
                </w:p>
              </w:tc>
              <w:tc>
                <w:tcPr>
                  <w:tcW w:w="1626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widowControl/>
                    <w:jc w:val="left"/>
                    <w:rPr>
                      <w:rFonts w:ascii="楷体" w:eastAsia="楷体" w:hAnsi="楷体"/>
                      <w:bCs/>
                      <w:szCs w:val="24"/>
                    </w:rPr>
                  </w:pPr>
                </w:p>
              </w:tc>
              <w:tc>
                <w:tcPr>
                  <w:tcW w:w="158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widowControl/>
                    <w:jc w:val="left"/>
                    <w:rPr>
                      <w:rFonts w:ascii="楷体" w:eastAsia="楷体" w:hAnsi="楷体"/>
                      <w:bCs/>
                      <w:szCs w:val="24"/>
                    </w:rPr>
                  </w:pP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</w:rPr>
                  </w:pPr>
                  <w:r>
                    <w:rPr>
                      <w:rFonts w:ascii="楷体" w:eastAsia="楷体" w:hAnsi="楷体" w:hint="eastAsia"/>
                    </w:rPr>
                    <w:t>北方石油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</w:rPr>
                  </w:pPr>
                  <w:r>
                    <w:rPr>
                      <w:rFonts w:ascii="楷体" w:eastAsia="楷体" w:hAnsi="楷体" w:hint="eastAsia"/>
                    </w:rPr>
                    <w:t>0-1%</w:t>
                  </w:r>
                </w:p>
              </w:tc>
            </w:tr>
            <w:tr w:rsidR="00EF1215">
              <w:trPr>
                <w:trHeight w:val="465"/>
                <w:jc w:val="center"/>
              </w:trPr>
              <w:tc>
                <w:tcPr>
                  <w:tcW w:w="45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3</w:t>
                  </w:r>
                </w:p>
              </w:tc>
              <w:tc>
                <w:tcPr>
                  <w:tcW w:w="162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异辛烷批发市场</w:t>
                  </w:r>
                </w:p>
              </w:tc>
              <w:tc>
                <w:tcPr>
                  <w:tcW w:w="158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全国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</w:rPr>
                  </w:pPr>
                  <w:r>
                    <w:rPr>
                      <w:rFonts w:ascii="楷体" w:eastAsia="楷体" w:hAnsi="楷体" w:hint="eastAsia"/>
                    </w:rPr>
                    <w:t>海</w:t>
                  </w:r>
                  <w:proofErr w:type="gramStart"/>
                  <w:r>
                    <w:rPr>
                      <w:rFonts w:ascii="楷体" w:eastAsia="楷体" w:hAnsi="楷体" w:hint="eastAsia"/>
                    </w:rPr>
                    <w:t>越股份</w:t>
                  </w:r>
                  <w:proofErr w:type="gramEnd"/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</w:rPr>
                  </w:pPr>
                  <w:r>
                    <w:rPr>
                      <w:rFonts w:ascii="楷体" w:eastAsia="楷体" w:hAnsi="楷体" w:hint="eastAsia"/>
                    </w:rPr>
                    <w:t>5%-8%</w:t>
                  </w:r>
                </w:p>
              </w:tc>
            </w:tr>
            <w:tr w:rsidR="00EF1215">
              <w:trPr>
                <w:trHeight w:val="465"/>
                <w:jc w:val="center"/>
              </w:trPr>
              <w:tc>
                <w:tcPr>
                  <w:tcW w:w="45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widowControl/>
                    <w:jc w:val="left"/>
                    <w:rPr>
                      <w:rFonts w:ascii="楷体" w:eastAsia="楷体" w:hAnsi="楷体"/>
                      <w:bCs/>
                      <w:szCs w:val="24"/>
                    </w:rPr>
                  </w:pPr>
                </w:p>
              </w:tc>
              <w:tc>
                <w:tcPr>
                  <w:tcW w:w="1626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widowControl/>
                    <w:jc w:val="left"/>
                    <w:rPr>
                      <w:rFonts w:ascii="楷体" w:eastAsia="楷体" w:hAnsi="楷体"/>
                      <w:bCs/>
                      <w:szCs w:val="24"/>
                    </w:rPr>
                  </w:pPr>
                </w:p>
              </w:tc>
              <w:tc>
                <w:tcPr>
                  <w:tcW w:w="158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widowControl/>
                    <w:jc w:val="left"/>
                    <w:rPr>
                      <w:rFonts w:ascii="楷体" w:eastAsia="楷体" w:hAnsi="楷体"/>
                      <w:bCs/>
                      <w:szCs w:val="24"/>
                    </w:rPr>
                  </w:pP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</w:rPr>
                  </w:pPr>
                  <w:r>
                    <w:rPr>
                      <w:rFonts w:ascii="楷体" w:eastAsia="楷体" w:hAnsi="楷体" w:hint="eastAsia"/>
                    </w:rPr>
                    <w:t>北方石油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</w:rPr>
                  </w:pPr>
                  <w:r>
                    <w:rPr>
                      <w:rFonts w:ascii="楷体" w:eastAsia="楷体" w:hAnsi="楷体" w:hint="eastAsia"/>
                    </w:rPr>
                    <w:t>0-1%</w:t>
                  </w:r>
                </w:p>
              </w:tc>
            </w:tr>
            <w:tr w:rsidR="00EF1215">
              <w:trPr>
                <w:trHeight w:val="300"/>
                <w:jc w:val="center"/>
              </w:trPr>
              <w:tc>
                <w:tcPr>
                  <w:tcW w:w="4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4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异辛烷生产市场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全国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</w:rPr>
                  </w:pPr>
                  <w:r>
                    <w:rPr>
                      <w:rFonts w:ascii="楷体" w:eastAsia="楷体" w:hAnsi="楷体" w:hint="eastAsia"/>
                    </w:rPr>
                    <w:t>海</w:t>
                  </w:r>
                  <w:proofErr w:type="gramStart"/>
                  <w:r>
                    <w:rPr>
                      <w:rFonts w:ascii="楷体" w:eastAsia="楷体" w:hAnsi="楷体" w:hint="eastAsia"/>
                    </w:rPr>
                    <w:t>越股份</w:t>
                  </w:r>
                  <w:proofErr w:type="gramEnd"/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</w:rPr>
                  </w:pPr>
                  <w:r>
                    <w:rPr>
                      <w:rFonts w:ascii="楷体" w:eastAsia="楷体" w:hAnsi="楷体" w:hint="eastAsia"/>
                    </w:rPr>
                    <w:t>5%-8%</w:t>
                  </w:r>
                </w:p>
              </w:tc>
            </w:tr>
            <w:tr w:rsidR="00EF1215">
              <w:trPr>
                <w:trHeight w:val="300"/>
                <w:jc w:val="center"/>
              </w:trPr>
              <w:tc>
                <w:tcPr>
                  <w:tcW w:w="4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5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车用汽油零售市场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浙江省诸暨市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</w:rPr>
                  </w:pPr>
                  <w:r>
                    <w:rPr>
                      <w:rFonts w:ascii="楷体" w:eastAsia="楷体" w:hAnsi="楷体" w:hint="eastAsia"/>
                    </w:rPr>
                    <w:t>海</w:t>
                  </w:r>
                  <w:proofErr w:type="gramStart"/>
                  <w:r>
                    <w:rPr>
                      <w:rFonts w:ascii="楷体" w:eastAsia="楷体" w:hAnsi="楷体" w:hint="eastAsia"/>
                    </w:rPr>
                    <w:t>越股份</w:t>
                  </w:r>
                  <w:proofErr w:type="gramEnd"/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</w:rPr>
                  </w:pPr>
                  <w:r>
                    <w:rPr>
                      <w:rFonts w:ascii="楷体" w:eastAsia="楷体" w:hAnsi="楷体" w:hint="eastAsia"/>
                    </w:rPr>
                    <w:t>10%-15%</w:t>
                  </w:r>
                </w:p>
              </w:tc>
            </w:tr>
            <w:tr w:rsidR="00EF1215">
              <w:trPr>
                <w:trHeight w:val="300"/>
                <w:jc w:val="center"/>
              </w:trPr>
              <w:tc>
                <w:tcPr>
                  <w:tcW w:w="4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6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轻柴油零售市场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浙江省诸暨市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</w:rPr>
                  </w:pPr>
                  <w:r>
                    <w:rPr>
                      <w:rFonts w:ascii="楷体" w:eastAsia="楷体" w:hAnsi="楷体" w:hint="eastAsia"/>
                    </w:rPr>
                    <w:t>海</w:t>
                  </w:r>
                  <w:proofErr w:type="gramStart"/>
                  <w:r>
                    <w:rPr>
                      <w:rFonts w:ascii="楷体" w:eastAsia="楷体" w:hAnsi="楷体" w:hint="eastAsia"/>
                    </w:rPr>
                    <w:t>越股份</w:t>
                  </w:r>
                  <w:proofErr w:type="gramEnd"/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</w:rPr>
                  </w:pPr>
                  <w:r>
                    <w:rPr>
                      <w:rFonts w:ascii="楷体" w:eastAsia="楷体" w:hAnsi="楷体" w:hint="eastAsia"/>
                    </w:rPr>
                    <w:t>10%-15%</w:t>
                  </w:r>
                </w:p>
              </w:tc>
            </w:tr>
            <w:tr w:rsidR="00EF1215">
              <w:trPr>
                <w:trHeight w:val="300"/>
                <w:jc w:val="center"/>
              </w:trPr>
              <w:tc>
                <w:tcPr>
                  <w:tcW w:w="4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7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石油化工产品仓储市场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以天津港为基础的</w:t>
                  </w:r>
                  <w:r w:rsidR="00816860">
                    <w:rPr>
                      <w:rFonts w:ascii="楷体" w:eastAsia="楷体" w:hAnsi="楷体" w:hint="eastAsia"/>
                      <w:bCs/>
                      <w:szCs w:val="24"/>
                    </w:rPr>
                    <w:t>京、</w:t>
                  </w: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津、冀、鲁北地区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</w:rPr>
                  </w:pPr>
                  <w:r>
                    <w:rPr>
                      <w:rFonts w:ascii="楷体" w:eastAsia="楷体" w:hAnsi="楷体" w:hint="eastAsia"/>
                    </w:rPr>
                    <w:t>北方石油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</w:rPr>
                  </w:pPr>
                  <w:r>
                    <w:rPr>
                      <w:rFonts w:ascii="楷体" w:eastAsia="楷体" w:hAnsi="楷体" w:hint="eastAsia"/>
                    </w:rPr>
                    <w:t>10-15%</w:t>
                  </w:r>
                </w:p>
              </w:tc>
            </w:tr>
            <w:tr w:rsidR="00EF1215">
              <w:trPr>
                <w:trHeight w:val="300"/>
                <w:jc w:val="center"/>
              </w:trPr>
              <w:tc>
                <w:tcPr>
                  <w:tcW w:w="4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8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MTBE批发市场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全国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</w:rPr>
                  </w:pPr>
                  <w:r>
                    <w:rPr>
                      <w:rFonts w:ascii="楷体" w:eastAsia="楷体" w:hAnsi="楷体" w:hint="eastAsia"/>
                    </w:rPr>
                    <w:t>北方石油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</w:rPr>
                  </w:pPr>
                  <w:r>
                    <w:rPr>
                      <w:rFonts w:ascii="楷体" w:eastAsia="楷体" w:hAnsi="楷体" w:hint="eastAsia"/>
                    </w:rPr>
                    <w:t>0-1%</w:t>
                  </w:r>
                </w:p>
              </w:tc>
            </w:tr>
            <w:tr w:rsidR="00EF1215">
              <w:trPr>
                <w:trHeight w:val="300"/>
                <w:jc w:val="center"/>
              </w:trPr>
              <w:tc>
                <w:tcPr>
                  <w:tcW w:w="4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9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二甲苯批发市场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  <w:bCs/>
                      <w:szCs w:val="24"/>
                    </w:rPr>
                  </w:pPr>
                  <w:r>
                    <w:rPr>
                      <w:rFonts w:ascii="楷体" w:eastAsia="楷体" w:hAnsi="楷体" w:hint="eastAsia"/>
                      <w:bCs/>
                      <w:szCs w:val="24"/>
                    </w:rPr>
                    <w:t>全国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</w:rPr>
                  </w:pPr>
                  <w:r>
                    <w:rPr>
                      <w:rFonts w:ascii="楷体" w:eastAsia="楷体" w:hAnsi="楷体" w:hint="eastAsia"/>
                    </w:rPr>
                    <w:t>北方石油</w:t>
                  </w:r>
                </w:p>
              </w:tc>
              <w:tc>
                <w:tcPr>
                  <w:tcW w:w="1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F1215" w:rsidRDefault="00EF1215">
                  <w:pPr>
                    <w:spacing w:line="360" w:lineRule="auto"/>
                    <w:jc w:val="center"/>
                    <w:rPr>
                      <w:rFonts w:ascii="楷体" w:eastAsia="楷体" w:hAnsi="楷体"/>
                    </w:rPr>
                  </w:pPr>
                  <w:r>
                    <w:rPr>
                      <w:rFonts w:ascii="楷体" w:eastAsia="楷体" w:hAnsi="楷体" w:hint="eastAsia"/>
                    </w:rPr>
                    <w:t>0-1%</w:t>
                  </w:r>
                </w:p>
              </w:tc>
            </w:tr>
          </w:tbl>
          <w:p w:rsidR="00EF1215" w:rsidRDefault="00EF1215">
            <w:pPr>
              <w:rPr>
                <w:rFonts w:ascii="楷体" w:eastAsia="楷体" w:hAnsi="楷体"/>
              </w:rPr>
            </w:pPr>
          </w:p>
          <w:p w:rsidR="00EF1215" w:rsidRDefault="00EF1215">
            <w:pPr>
              <w:adjustRightInd w:val="0"/>
              <w:snapToGrid w:val="0"/>
              <w:spacing w:line="360" w:lineRule="auto"/>
              <w:rPr>
                <w:rFonts w:ascii="楷体" w:eastAsia="楷体" w:hAnsi="楷体"/>
                <w:sz w:val="24"/>
                <w:szCs w:val="24"/>
              </w:rPr>
            </w:pPr>
          </w:p>
        </w:tc>
      </w:tr>
    </w:tbl>
    <w:p w:rsidR="00EF1215" w:rsidRDefault="00EF1215" w:rsidP="00EF1215">
      <w:pPr>
        <w:spacing w:line="360" w:lineRule="auto"/>
        <w:ind w:firstLineChars="200" w:firstLine="480"/>
        <w:rPr>
          <w:rFonts w:ascii="Times New Roman" w:eastAsia="华文楷体" w:hAnsi="Times New Roman"/>
          <w:sz w:val="24"/>
          <w:szCs w:val="24"/>
        </w:rPr>
      </w:pPr>
      <w:r>
        <w:rPr>
          <w:rFonts w:ascii="Times New Roman" w:eastAsia="华文楷体" w:hAnsi="Times New Roman" w:hint="eastAsia"/>
          <w:sz w:val="24"/>
          <w:szCs w:val="24"/>
        </w:rPr>
        <w:lastRenderedPageBreak/>
        <w:t>注解：</w:t>
      </w:r>
    </w:p>
    <w:p w:rsidR="00EF1215" w:rsidRDefault="00EF1215" w:rsidP="00EF1215">
      <w:pPr>
        <w:spacing w:line="360" w:lineRule="auto"/>
        <w:ind w:firstLineChars="200" w:firstLine="480"/>
        <w:rPr>
          <w:rFonts w:ascii="Times New Roman" w:eastAsia="华文楷体" w:hAnsi="Times New Roman"/>
          <w:sz w:val="24"/>
          <w:szCs w:val="24"/>
        </w:rPr>
      </w:pPr>
      <w:r>
        <w:rPr>
          <w:rFonts w:ascii="Times New Roman" w:eastAsia="华文楷体" w:hAnsi="Times New Roman"/>
          <w:sz w:val="24"/>
          <w:szCs w:val="24"/>
        </w:rPr>
        <w:t>1</w:t>
      </w:r>
      <w:r>
        <w:rPr>
          <w:rFonts w:ascii="Times New Roman" w:eastAsia="华文楷体" w:hAnsi="Times New Roman" w:hint="eastAsia"/>
          <w:sz w:val="24"/>
          <w:szCs w:val="24"/>
        </w:rPr>
        <w:t>、申报方申请简易案件的理由是基于</w:t>
      </w:r>
      <w:r>
        <w:rPr>
          <w:rFonts w:ascii="Times New Roman" w:eastAsia="华文楷体" w:hAnsi="Times New Roman"/>
          <w:sz w:val="24"/>
          <w:szCs w:val="24"/>
        </w:rPr>
        <w:t>1-3</w:t>
      </w:r>
      <w:r>
        <w:rPr>
          <w:rFonts w:ascii="Times New Roman" w:eastAsia="华文楷体" w:hAnsi="Times New Roman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>
        <w:rPr>
          <w:rFonts w:ascii="Times New Roman" w:eastAsia="华文楷体" w:hAnsi="Times New Roman"/>
          <w:sz w:val="24"/>
          <w:szCs w:val="24"/>
        </w:rPr>
        <w:t>5%</w:t>
      </w:r>
      <w:r>
        <w:rPr>
          <w:rFonts w:ascii="Times New Roman" w:eastAsia="华文楷体" w:hAnsi="Times New Roman" w:hint="eastAsia"/>
          <w:sz w:val="24"/>
          <w:szCs w:val="24"/>
        </w:rPr>
        <w:t>。</w:t>
      </w:r>
      <w:r>
        <w:rPr>
          <w:rFonts w:ascii="Times New Roman" w:eastAsia="华文楷体" w:hAnsi="Times New Roman"/>
          <w:sz w:val="24"/>
          <w:szCs w:val="24"/>
        </w:rPr>
        <w:t>1-3</w:t>
      </w:r>
      <w:r>
        <w:rPr>
          <w:rFonts w:ascii="Times New Roman" w:eastAsia="华文楷体" w:hAnsi="Times New Roman" w:hint="eastAsia"/>
          <w:sz w:val="24"/>
          <w:szCs w:val="24"/>
        </w:rPr>
        <w:t>项可以多选，也可单选；</w:t>
      </w:r>
      <w:proofErr w:type="gramStart"/>
      <w:r>
        <w:rPr>
          <w:rFonts w:ascii="Times New Roman" w:eastAsia="华文楷体" w:hAnsi="Times New Roman" w:hint="eastAsia"/>
          <w:sz w:val="24"/>
          <w:szCs w:val="24"/>
        </w:rPr>
        <w:t>没有勾选的</w:t>
      </w:r>
      <w:proofErr w:type="gramEnd"/>
      <w:r>
        <w:rPr>
          <w:rFonts w:ascii="Times New Roman" w:eastAsia="华文楷体" w:hAnsi="Times New Roman" w:hint="eastAsia"/>
          <w:sz w:val="24"/>
          <w:szCs w:val="24"/>
        </w:rPr>
        <w:t>，视为本集中不涉及该类型交易。</w:t>
      </w:r>
    </w:p>
    <w:p w:rsidR="00EF1215" w:rsidRDefault="00EF1215" w:rsidP="00EF1215">
      <w:pPr>
        <w:spacing w:line="360" w:lineRule="auto"/>
        <w:ind w:firstLineChars="200" w:firstLine="480"/>
        <w:rPr>
          <w:rFonts w:ascii="Times New Roman" w:eastAsia="华文楷体" w:hAnsi="Times New Roman"/>
          <w:sz w:val="24"/>
          <w:szCs w:val="24"/>
        </w:rPr>
      </w:pPr>
      <w:r>
        <w:rPr>
          <w:rFonts w:ascii="Times New Roman" w:eastAsia="华文楷体" w:hAnsi="Times New Roman"/>
          <w:sz w:val="24"/>
          <w:szCs w:val="24"/>
        </w:rPr>
        <w:t>2</w:t>
      </w:r>
      <w:r>
        <w:rPr>
          <w:rFonts w:ascii="Times New Roman" w:eastAsia="华文楷体" w:hAnsi="Times New Roman" w:hint="eastAsia"/>
          <w:sz w:val="24"/>
          <w:szCs w:val="24"/>
        </w:rPr>
        <w:t>、申报方申请简易案件的理由是基于第</w:t>
      </w:r>
      <w:r>
        <w:rPr>
          <w:rFonts w:ascii="Times New Roman" w:eastAsia="华文楷体" w:hAnsi="Times New Roman"/>
          <w:sz w:val="24"/>
          <w:szCs w:val="24"/>
        </w:rPr>
        <w:t>4</w:t>
      </w:r>
      <w:r>
        <w:rPr>
          <w:rFonts w:ascii="Times New Roman" w:eastAsia="华文楷体" w:hAnsi="Times New Roman" w:hint="eastAsia"/>
          <w:sz w:val="24"/>
          <w:szCs w:val="24"/>
        </w:rPr>
        <w:t>项、第</w:t>
      </w:r>
      <w:r>
        <w:rPr>
          <w:rFonts w:ascii="Times New Roman" w:eastAsia="华文楷体" w:hAnsi="Times New Roman"/>
          <w:sz w:val="24"/>
          <w:szCs w:val="24"/>
        </w:rPr>
        <w:t>5</w:t>
      </w:r>
      <w:r>
        <w:rPr>
          <w:rFonts w:ascii="Times New Roman" w:eastAsia="华文楷体" w:hAnsi="Times New Roman" w:hint="eastAsia"/>
          <w:sz w:val="24"/>
          <w:szCs w:val="24"/>
        </w:rPr>
        <w:t>项时，无须在备注中说</w:t>
      </w:r>
      <w:r>
        <w:rPr>
          <w:rFonts w:ascii="Times New Roman" w:eastAsia="华文楷体" w:hAnsi="Times New Roman" w:hint="eastAsia"/>
          <w:sz w:val="24"/>
          <w:szCs w:val="24"/>
        </w:rPr>
        <w:lastRenderedPageBreak/>
        <w:t>明相关市场和市场份额。</w:t>
      </w:r>
    </w:p>
    <w:p w:rsidR="00EF1215" w:rsidRDefault="00EF1215" w:rsidP="00EF1215">
      <w:pPr>
        <w:spacing w:line="360" w:lineRule="auto"/>
        <w:ind w:firstLineChars="200" w:firstLine="480"/>
        <w:rPr>
          <w:rFonts w:ascii="Times New Roman" w:eastAsia="华文楷体" w:hAnsi="Times New Roman"/>
          <w:sz w:val="24"/>
          <w:szCs w:val="24"/>
        </w:rPr>
      </w:pPr>
      <w:r>
        <w:rPr>
          <w:rFonts w:ascii="Times New Roman" w:eastAsia="华文楷体" w:hAnsi="Times New Roman"/>
          <w:sz w:val="24"/>
          <w:szCs w:val="24"/>
        </w:rPr>
        <w:t>3</w:t>
      </w:r>
      <w:r>
        <w:rPr>
          <w:rFonts w:ascii="Times New Roman" w:eastAsia="华文楷体" w:hAnsi="Times New Roman" w:hint="eastAsia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>
        <w:rPr>
          <w:rFonts w:ascii="Times New Roman" w:eastAsia="华文楷体" w:hAnsi="Times New Roman" w:hint="eastAsia"/>
          <w:sz w:val="24"/>
          <w:szCs w:val="24"/>
        </w:rPr>
        <w:t>同时勾选第</w:t>
      </w:r>
      <w:r>
        <w:rPr>
          <w:rFonts w:ascii="Times New Roman" w:eastAsia="华文楷体" w:hAnsi="Times New Roman"/>
          <w:sz w:val="24"/>
          <w:szCs w:val="24"/>
        </w:rPr>
        <w:t>1</w:t>
      </w:r>
      <w:r>
        <w:rPr>
          <w:rFonts w:ascii="Times New Roman" w:eastAsia="华文楷体" w:hAnsi="Times New Roman" w:hint="eastAsia"/>
          <w:sz w:val="24"/>
          <w:szCs w:val="24"/>
        </w:rPr>
        <w:t>项</w:t>
      </w:r>
      <w:proofErr w:type="gramEnd"/>
      <w:r>
        <w:rPr>
          <w:rFonts w:ascii="Times New Roman" w:eastAsia="华文楷体" w:hAnsi="Times New Roman" w:hint="eastAsia"/>
          <w:sz w:val="24"/>
          <w:szCs w:val="24"/>
        </w:rPr>
        <w:t>和第</w:t>
      </w:r>
      <w:r>
        <w:rPr>
          <w:rFonts w:ascii="Times New Roman" w:eastAsia="华文楷体" w:hAnsi="Times New Roman"/>
          <w:sz w:val="24"/>
          <w:szCs w:val="24"/>
        </w:rPr>
        <w:t>6</w:t>
      </w:r>
      <w:r>
        <w:rPr>
          <w:rFonts w:ascii="Times New Roman" w:eastAsia="华文楷体" w:hAnsi="Times New Roman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>
        <w:rPr>
          <w:rFonts w:ascii="Times New Roman" w:eastAsia="华文楷体" w:hAnsi="Times New Roman"/>
          <w:sz w:val="24"/>
          <w:szCs w:val="24"/>
        </w:rPr>
        <w:t>5%</w:t>
      </w:r>
      <w:r>
        <w:rPr>
          <w:rFonts w:ascii="Times New Roman" w:eastAsia="华文楷体" w:hAnsi="Times New Roman" w:hint="eastAsia"/>
          <w:sz w:val="24"/>
          <w:szCs w:val="24"/>
        </w:rPr>
        <w:t>。</w:t>
      </w:r>
    </w:p>
    <w:p w:rsidR="000801B5" w:rsidRPr="00EF1215" w:rsidRDefault="000801B5"/>
    <w:sectPr w:rsidR="000801B5" w:rsidRPr="00EF1215" w:rsidSect="000801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F1215"/>
    <w:rsid w:val="000801B5"/>
    <w:rsid w:val="00753018"/>
    <w:rsid w:val="00816860"/>
    <w:rsid w:val="00EF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FB4D65-29F5-441E-A3FA-B69677E7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1215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51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Win8</dc:creator>
  <cp:lastModifiedBy>梁效威</cp:lastModifiedBy>
  <cp:revision>3</cp:revision>
  <dcterms:created xsi:type="dcterms:W3CDTF">2017-08-08T09:51:00Z</dcterms:created>
  <dcterms:modified xsi:type="dcterms:W3CDTF">2017-08-09T08:32:00Z</dcterms:modified>
</cp:coreProperties>
</file>