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11"/>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案件名称</w:t>
            </w:r>
          </w:p>
        </w:tc>
        <w:tc>
          <w:tcPr>
            <w:tcW w:w="6949" w:type="dxa"/>
            <w:gridSpan w:val="2"/>
          </w:tcPr>
          <w:p>
            <w:pPr>
              <w:spacing w:line="500" w:lineRule="exact"/>
              <w:rPr>
                <w:rFonts w:ascii="Times New Roman" w:hAnsi="Times New Roman" w:eastAsia="仿宋_GB2312"/>
                <w:sz w:val="28"/>
                <w:szCs w:val="28"/>
              </w:rPr>
            </w:pPr>
            <w:r>
              <w:rPr>
                <w:rFonts w:ascii="Times New Roman" w:hAnsi="Times New Roman" w:eastAsia="仿宋_GB2312"/>
                <w:sz w:val="28"/>
                <w:szCs w:val="28"/>
              </w:rPr>
              <w:t>（1）高盛集团公司管理的基金与（2）Antin基础设施英国有限合伙公司（</w:t>
            </w:r>
            <w:r>
              <w:rPr>
                <w:rFonts w:hint="eastAsia" w:ascii="仿宋_GB2312" w:hAnsi="Times New Roman" w:eastAsia="仿宋_GB2312"/>
                <w:sz w:val="28"/>
                <w:szCs w:val="28"/>
              </w:rPr>
              <w:t>“</w:t>
            </w:r>
            <w:r>
              <w:rPr>
                <w:rFonts w:ascii="Times New Roman" w:hAnsi="Times New Roman" w:eastAsia="仿宋_GB2312"/>
                <w:sz w:val="28"/>
                <w:szCs w:val="28"/>
              </w:rPr>
              <w:t>Antin基础设施</w:t>
            </w:r>
            <w:bookmarkStart w:id="0" w:name="_GoBack"/>
            <w:bookmarkEnd w:id="0"/>
            <w:r>
              <w:rPr>
                <w:rFonts w:ascii="Times New Roman" w:hAnsi="Times New Roman" w:eastAsia="仿宋_GB2312"/>
                <w:sz w:val="28"/>
                <w:szCs w:val="28"/>
              </w:rPr>
              <w:t>英国</w:t>
            </w:r>
            <w:r>
              <w:rPr>
                <w:rFonts w:hint="eastAsia" w:ascii="仿宋_GB2312" w:hAnsi="Times New Roman" w:eastAsia="仿宋_GB2312"/>
                <w:sz w:val="28"/>
                <w:szCs w:val="28"/>
              </w:rPr>
              <w:t>”</w:t>
            </w:r>
            <w:r>
              <w:rPr>
                <w:rFonts w:ascii="Times New Roman" w:hAnsi="Times New Roman" w:eastAsia="仿宋_GB2312"/>
                <w:sz w:val="28"/>
                <w:szCs w:val="28"/>
              </w:rPr>
              <w:t>）和Antin基础设施有限合伙公司（</w:t>
            </w:r>
            <w:r>
              <w:rPr>
                <w:rFonts w:hint="eastAsia" w:ascii="仿宋_GB2312" w:hAnsi="Times New Roman" w:eastAsia="仿宋_GB2312"/>
                <w:sz w:val="28"/>
                <w:szCs w:val="28"/>
              </w:rPr>
              <w:t>“</w:t>
            </w:r>
            <w:r>
              <w:rPr>
                <w:rFonts w:ascii="Times New Roman" w:hAnsi="Times New Roman" w:eastAsia="仿宋_GB2312"/>
                <w:sz w:val="28"/>
                <w:szCs w:val="28"/>
              </w:rPr>
              <w:t>Antin基础设施法国"）（Antin基础设施英国与Antin基础设施法国合称为</w:t>
            </w:r>
            <w:r>
              <w:rPr>
                <w:rFonts w:hint="eastAsia" w:ascii="仿宋_GB2312" w:hAnsi="Times New Roman" w:eastAsia="仿宋_GB2312"/>
                <w:sz w:val="28"/>
                <w:szCs w:val="28"/>
              </w:rPr>
              <w:t>“</w:t>
            </w:r>
            <w:r>
              <w:rPr>
                <w:rFonts w:ascii="Times New Roman" w:hAnsi="Times New Roman" w:eastAsia="仿宋_GB2312"/>
                <w:sz w:val="28"/>
                <w:szCs w:val="28"/>
              </w:rPr>
              <w:t>Antin基础设施公司</w:t>
            </w:r>
            <w:r>
              <w:rPr>
                <w:rFonts w:hint="eastAsia" w:ascii="仿宋_GB2312" w:hAnsi="Times New Roman" w:eastAsia="仿宋_GB2312"/>
                <w:sz w:val="28"/>
                <w:szCs w:val="28"/>
              </w:rPr>
              <w:t>”</w:t>
            </w:r>
            <w:r>
              <w:rPr>
                <w:rFonts w:ascii="Times New Roman" w:hAnsi="Times New Roman" w:eastAsia="仿宋_GB2312"/>
                <w:sz w:val="28"/>
                <w:szCs w:val="28"/>
              </w:rPr>
              <w:t>）管理的基金收购CityFibre基础设施控股有限公司股权案（</w:t>
            </w:r>
            <w:r>
              <w:rPr>
                <w:rFonts w:hint="eastAsia" w:ascii="仿宋_GB2312" w:hAnsi="Times New Roman" w:eastAsia="仿宋_GB2312"/>
                <w:sz w:val="28"/>
                <w:szCs w:val="28"/>
              </w:rPr>
              <w:t>“</w:t>
            </w:r>
            <w:r>
              <w:rPr>
                <w:rFonts w:ascii="Times New Roman" w:hAnsi="Times New Roman" w:eastAsia="仿宋_GB2312"/>
                <w:b/>
                <w:sz w:val="28"/>
                <w:szCs w:val="28"/>
              </w:rPr>
              <w:t>拟议交易</w:t>
            </w:r>
            <w:r>
              <w:rPr>
                <w:rFonts w:hint="eastAsia" w:ascii="仿宋_GB2312" w:hAnsi="Times New Roman" w:eastAsia="仿宋_GB2312"/>
                <w:sz w:val="28"/>
                <w:szCs w:val="28"/>
              </w:rPr>
              <w:t>”</w:t>
            </w:r>
            <w:r>
              <w:rPr>
                <w:rFonts w:ascii="Times New Roman" w:hAnsi="Times New Roman" w:eastAsia="仿宋_GB2312"/>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交易概况（限200字内）</w:t>
            </w:r>
          </w:p>
        </w:tc>
        <w:tc>
          <w:tcPr>
            <w:tcW w:w="6949" w:type="dxa"/>
            <w:gridSpan w:val="2"/>
          </w:tcPr>
          <w:p>
            <w:pPr>
              <w:spacing w:line="500" w:lineRule="exact"/>
              <w:rPr>
                <w:rFonts w:ascii="Times New Roman" w:hAnsi="Times New Roman" w:eastAsia="仿宋_GB2312"/>
                <w:sz w:val="28"/>
                <w:szCs w:val="28"/>
              </w:rPr>
            </w:pPr>
            <w:r>
              <w:rPr>
                <w:rFonts w:ascii="Times New Roman" w:hAnsi="Times New Roman" w:eastAsia="仿宋_GB2312"/>
                <w:sz w:val="28"/>
                <w:szCs w:val="28"/>
              </w:rPr>
              <w:t>高盛和Antin基础设施公司计划通过</w:t>
            </w:r>
            <w:r>
              <w:rPr>
                <w:rFonts w:hint="eastAsia" w:ascii="Times New Roman" w:hAnsi="Times New Roman" w:eastAsia="仿宋_GB2312"/>
                <w:sz w:val="28"/>
                <w:szCs w:val="28"/>
              </w:rPr>
              <w:t>一家</w:t>
            </w:r>
            <w:r>
              <w:rPr>
                <w:rFonts w:ascii="Times New Roman" w:hAnsi="Times New Roman" w:eastAsia="仿宋_GB2312"/>
                <w:sz w:val="28"/>
                <w:szCs w:val="28"/>
              </w:rPr>
              <w:t>工具公司联合收购CityFibre全部已发行和将要发行的股本</w:t>
            </w:r>
            <w:r>
              <w:rPr>
                <w:rFonts w:hint="eastAsia" w:ascii="Times New Roman" w:hAnsi="Times New Roman" w:eastAsia="仿宋_GB2312"/>
                <w:sz w:val="28"/>
                <w:szCs w:val="28"/>
              </w:rPr>
              <w:t>，以获得对CityFibre的共同控制</w:t>
            </w:r>
            <w:r>
              <w:rPr>
                <w:rFonts w:ascii="Times New Roman" w:hAnsi="Times New Roman" w:eastAsia="仿宋_GB2312"/>
                <w:sz w:val="28"/>
                <w:szCs w:val="28"/>
              </w:rPr>
              <w:t>。拟议交易完成后，CityFibre将由高盛和Antin基础设施公司全资所有。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参与集中的经营者简介</w:t>
            </w:r>
          </w:p>
        </w:tc>
        <w:tc>
          <w:tcPr>
            <w:tcW w:w="1796" w:type="dxa"/>
          </w:tcPr>
          <w:p>
            <w:pPr>
              <w:spacing w:line="500" w:lineRule="exact"/>
              <w:rPr>
                <w:rFonts w:ascii="仿宋_GB2312" w:hAnsi="Times New Roman" w:eastAsia="仿宋_GB2312"/>
                <w:sz w:val="28"/>
                <w:szCs w:val="28"/>
              </w:rPr>
            </w:pPr>
            <w:r>
              <w:rPr>
                <w:rFonts w:ascii="Times New Roman" w:hAnsi="Times New Roman" w:eastAsia="仿宋_GB2312"/>
                <w:sz w:val="28"/>
                <w:szCs w:val="28"/>
              </w:rPr>
              <w:t>1</w:t>
            </w:r>
            <w:r>
              <w:rPr>
                <w:rFonts w:hint="eastAsia" w:ascii="仿宋_GB2312" w:hAnsi="Times New Roman" w:eastAsia="仿宋_GB2312"/>
                <w:sz w:val="28"/>
                <w:szCs w:val="28"/>
              </w:rPr>
              <w:t>、高盛</w:t>
            </w:r>
          </w:p>
        </w:tc>
        <w:tc>
          <w:tcPr>
            <w:tcW w:w="5153" w:type="dxa"/>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高盛是一家全球性的投资银行、证券和投资管理公司，向全球范围内大量多元化的客户群提供一系列银行、证券和投资服务。该等客户包括公司、金融机构、政府和高资产净值个人。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55" w:hRule="atLeast"/>
        </w:trPr>
        <w:tc>
          <w:tcPr>
            <w:tcW w:w="1809" w:type="dxa"/>
            <w:vMerge w:val="continue"/>
            <w:shd w:val="clear" w:color="auto" w:fill="D9D9D9"/>
          </w:tcPr>
          <w:p>
            <w:pPr>
              <w:spacing w:line="500" w:lineRule="exact"/>
              <w:rPr>
                <w:rFonts w:ascii="仿宋_GB2312" w:hAnsi="Times New Roman" w:eastAsia="仿宋_GB2312"/>
                <w:sz w:val="28"/>
                <w:szCs w:val="28"/>
              </w:rPr>
            </w:pPr>
          </w:p>
        </w:tc>
        <w:tc>
          <w:tcPr>
            <w:tcW w:w="1796" w:type="dxa"/>
          </w:tcPr>
          <w:p>
            <w:pPr>
              <w:spacing w:line="500" w:lineRule="exact"/>
              <w:rPr>
                <w:rFonts w:ascii="Times New Roman" w:hAnsi="Times New Roman" w:eastAsia="仿宋_GB2312"/>
                <w:sz w:val="28"/>
                <w:szCs w:val="28"/>
              </w:rPr>
            </w:pPr>
            <w:r>
              <w:rPr>
                <w:rFonts w:hint="eastAsia" w:ascii="Times New Roman" w:hAnsi="Times New Roman" w:eastAsia="仿宋_GB2312"/>
                <w:sz w:val="28"/>
                <w:szCs w:val="28"/>
              </w:rPr>
              <w:t>2、Antin基础设施公司</w:t>
            </w:r>
          </w:p>
        </w:tc>
        <w:tc>
          <w:tcPr>
            <w:tcW w:w="5153" w:type="dxa"/>
          </w:tcPr>
          <w:p>
            <w:pPr>
              <w:spacing w:line="500" w:lineRule="exact"/>
              <w:rPr>
                <w:rFonts w:ascii="Times New Roman" w:hAnsi="Times New Roman" w:eastAsia="仿宋_GB2312"/>
                <w:sz w:val="28"/>
                <w:szCs w:val="28"/>
              </w:rPr>
            </w:pPr>
            <w:r>
              <w:rPr>
                <w:rFonts w:ascii="Times New Roman" w:hAnsi="Times New Roman" w:eastAsia="仿宋_GB2312"/>
                <w:sz w:val="28"/>
                <w:szCs w:val="28"/>
              </w:rPr>
              <w:t>Antin基础设施公司是一家专注于基础设施投资的私募股权公司，尤其是在能源与环境、电信、交通和社会基础设施领域</w:t>
            </w:r>
            <w:r>
              <w:rPr>
                <w:rFonts w:hint="eastAsia" w:ascii="Times New Roman" w:hAnsi="Times New Roman" w:eastAsia="仿宋_GB2312"/>
                <w:sz w:val="28"/>
                <w:szCs w:val="28"/>
              </w:rPr>
              <w:t>。</w:t>
            </w:r>
            <w:r>
              <w:rPr>
                <w:rFonts w:ascii="Times New Roman" w:hAnsi="Times New Roman" w:eastAsia="仿宋_GB2312"/>
                <w:sz w:val="28"/>
                <w:szCs w:val="28"/>
              </w:rPr>
              <w:t>Antin基础设施公司于</w:t>
            </w:r>
            <w:r>
              <w:rPr>
                <w:rFonts w:hint="eastAsia" w:ascii="Times New Roman" w:hAnsi="Times New Roman" w:eastAsia="仿宋_GB2312"/>
                <w:sz w:val="28"/>
                <w:szCs w:val="28"/>
              </w:rPr>
              <w:t>2007年成立，</w:t>
            </w:r>
            <w:r>
              <w:rPr>
                <w:rFonts w:ascii="Times New Roman" w:hAnsi="Times New Roman" w:eastAsia="仿宋_GB2312"/>
                <w:sz w:val="28"/>
                <w:szCs w:val="28"/>
              </w:rPr>
              <w:t>总部位于法国巴黎和英国伦敦，并在卢森堡设有办事处。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55" w:hRule="atLeast"/>
        </w:trPr>
        <w:tc>
          <w:tcPr>
            <w:tcW w:w="1809" w:type="dxa"/>
            <w:vMerge w:val="continue"/>
            <w:shd w:val="clear" w:color="auto" w:fill="D9D9D9"/>
          </w:tcPr>
          <w:p>
            <w:pPr>
              <w:spacing w:line="500" w:lineRule="exact"/>
              <w:rPr>
                <w:rFonts w:ascii="仿宋_GB2312" w:hAnsi="Times New Roman" w:eastAsia="仿宋_GB2312"/>
                <w:sz w:val="28"/>
                <w:szCs w:val="28"/>
              </w:rPr>
            </w:pPr>
          </w:p>
        </w:tc>
        <w:tc>
          <w:tcPr>
            <w:tcW w:w="1796" w:type="dxa"/>
          </w:tcPr>
          <w:p>
            <w:pPr>
              <w:spacing w:line="500" w:lineRule="exact"/>
              <w:rPr>
                <w:rFonts w:ascii="仿宋_GB2312" w:hAnsi="Times New Roman" w:eastAsia="仿宋_GB2312"/>
                <w:sz w:val="28"/>
                <w:szCs w:val="28"/>
              </w:rPr>
            </w:pPr>
            <w:r>
              <w:rPr>
                <w:rFonts w:hint="eastAsia" w:ascii="Times New Roman" w:hAnsi="Times New Roman" w:eastAsia="仿宋_GB2312"/>
                <w:sz w:val="28"/>
                <w:szCs w:val="28"/>
              </w:rPr>
              <w:t>3</w:t>
            </w:r>
            <w:r>
              <w:rPr>
                <w:rFonts w:hint="eastAsia" w:ascii="仿宋_GB2312" w:hAnsi="Times New Roman" w:eastAsia="仿宋_GB2312"/>
                <w:sz w:val="28"/>
                <w:szCs w:val="28"/>
              </w:rPr>
              <w:t>、</w:t>
            </w:r>
            <w:r>
              <w:rPr>
                <w:rFonts w:ascii="Times New Roman" w:hAnsi="Times New Roman" w:eastAsia="仿宋_GB2312"/>
                <w:sz w:val="28"/>
                <w:szCs w:val="28"/>
              </w:rPr>
              <w:t>CityFibre</w:t>
            </w:r>
          </w:p>
          <w:p>
            <w:pPr>
              <w:spacing w:line="500" w:lineRule="exact"/>
              <w:rPr>
                <w:rFonts w:ascii="仿宋_GB2312" w:hAnsi="Times New Roman" w:eastAsia="仿宋_GB2312"/>
                <w:sz w:val="28"/>
                <w:szCs w:val="28"/>
              </w:rPr>
            </w:pPr>
          </w:p>
        </w:tc>
        <w:tc>
          <w:tcPr>
            <w:tcW w:w="5153" w:type="dxa"/>
          </w:tcPr>
          <w:p>
            <w:pPr>
              <w:spacing w:line="500" w:lineRule="exact"/>
              <w:rPr>
                <w:rFonts w:ascii="Times New Roman" w:hAnsi="Times New Roman" w:eastAsia="仿宋_GB2312"/>
                <w:sz w:val="28"/>
                <w:szCs w:val="28"/>
              </w:rPr>
            </w:pPr>
            <w:r>
              <w:rPr>
                <w:rFonts w:ascii="Times New Roman" w:hAnsi="Times New Roman" w:eastAsia="仿宋_GB2312"/>
                <w:sz w:val="28"/>
                <w:szCs w:val="28"/>
              </w:rPr>
              <w:t>CityFibre位于英国，并通过设计、建设、持有和运营光纤网络基础设施的方式提供光纤连接服务，是一家在英国城镇和城市从事业务的光纤网络批量运营商，为其合作伙伴和移动网络运营商提供开放可获取的共享网络基础设施（该设施能提供千兆级网络连接），CityFibre的合作伙伴和移动网络运营商再依次将数字连接解决方案提供给其在公共领域、企业和居民市场的终端客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简易案件理由（可以单选，也可以多选）</w:t>
            </w:r>
          </w:p>
        </w:tc>
        <w:tc>
          <w:tcPr>
            <w:tcW w:w="6949" w:type="dxa"/>
            <w:gridSpan w:val="2"/>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w:t>
            </w:r>
            <w:r>
              <w:rPr>
                <w:rFonts w:hint="eastAsia" w:ascii="Times New Roman" w:hAnsi="Times New Roman" w:eastAsia="仿宋_GB2312"/>
                <w:sz w:val="28"/>
                <w:szCs w:val="28"/>
              </w:rPr>
              <w:t>1</w:t>
            </w:r>
            <w:r>
              <w:rPr>
                <w:rFonts w:hint="eastAsia" w:ascii="仿宋_GB2312" w:hAnsi="Times New Roman" w:eastAsia="仿宋_GB2312"/>
                <w:sz w:val="28"/>
                <w:szCs w:val="28"/>
              </w:rPr>
              <w:t>、在同一相关市场，所有参与集中的经营者所占市场份额之和小于</w:t>
            </w:r>
            <w:r>
              <w:rPr>
                <w:rFonts w:ascii="Times New Roman" w:hAnsi="Times New Roman" w:eastAsia="仿宋_GB2312"/>
                <w:sz w:val="28"/>
                <w:szCs w:val="28"/>
              </w:rPr>
              <w:t>15%</w:t>
            </w:r>
            <w:r>
              <w:rPr>
                <w:rFonts w:hint="eastAsia" w:ascii="仿宋_GB2312" w:hAnsi="Times New Roman" w:eastAsia="仿宋_GB2312"/>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tcPr>
          <w:p>
            <w:pPr>
              <w:spacing w:line="500" w:lineRule="exact"/>
              <w:rPr>
                <w:rFonts w:ascii="仿宋_GB2312" w:hAnsi="Times New Roman" w:eastAsia="仿宋_GB2312"/>
                <w:sz w:val="28"/>
                <w:szCs w:val="28"/>
              </w:rPr>
            </w:pPr>
          </w:p>
        </w:tc>
        <w:tc>
          <w:tcPr>
            <w:tcW w:w="6949" w:type="dxa"/>
            <w:gridSpan w:val="2"/>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w:t>
            </w:r>
            <w:r>
              <w:rPr>
                <w:rFonts w:hint="eastAsia" w:ascii="Times New Roman" w:hAnsi="Times New Roman" w:eastAsia="仿宋_GB2312"/>
                <w:sz w:val="28"/>
                <w:szCs w:val="28"/>
              </w:rPr>
              <w:t>2</w:t>
            </w:r>
            <w:r>
              <w:rPr>
                <w:rFonts w:hint="eastAsia" w:ascii="仿宋_GB2312" w:hAnsi="Times New Roman" w:eastAsia="仿宋_GB2312"/>
                <w:sz w:val="28"/>
                <w:szCs w:val="28"/>
              </w:rPr>
              <w:t>、存在上下游关系的参与集中的经营者，在上下游市场所占的市场份额均小于</w:t>
            </w:r>
            <w:r>
              <w:rPr>
                <w:rFonts w:hint="eastAsia" w:ascii="Times New Roman" w:hAnsi="Times New Roman" w:eastAsia="仿宋_GB2312"/>
                <w:sz w:val="28"/>
                <w:szCs w:val="28"/>
              </w:rPr>
              <w:t>25%</w:t>
            </w:r>
            <w:r>
              <w:rPr>
                <w:rFonts w:hint="eastAsia" w:ascii="仿宋_GB2312" w:hAnsi="Times New Roman" w:eastAsia="仿宋_GB2312"/>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tcPr>
          <w:p>
            <w:pPr>
              <w:spacing w:line="500" w:lineRule="exact"/>
              <w:rPr>
                <w:rFonts w:ascii="仿宋_GB2312" w:hAnsi="Times New Roman" w:eastAsia="仿宋_GB2312"/>
                <w:sz w:val="28"/>
                <w:szCs w:val="28"/>
              </w:rPr>
            </w:pPr>
          </w:p>
        </w:tc>
        <w:tc>
          <w:tcPr>
            <w:tcW w:w="6949" w:type="dxa"/>
            <w:gridSpan w:val="2"/>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w:t>
            </w:r>
            <w:r>
              <w:rPr>
                <w:rFonts w:hint="eastAsia" w:ascii="Times New Roman" w:hAnsi="Times New Roman" w:eastAsia="仿宋_GB2312"/>
                <w:sz w:val="28"/>
                <w:szCs w:val="28"/>
              </w:rPr>
              <w:t>3</w:t>
            </w:r>
            <w:r>
              <w:rPr>
                <w:rFonts w:hint="eastAsia" w:ascii="仿宋_GB2312" w:hAnsi="Times New Roman" w:eastAsia="仿宋_GB2312"/>
                <w:sz w:val="28"/>
                <w:szCs w:val="28"/>
              </w:rPr>
              <w:t>、不在同一相关市场、也不存在上下游关系的参与集中的经营者，在与交易有关的每个市场所占的份额均小于</w:t>
            </w:r>
            <w:r>
              <w:rPr>
                <w:rFonts w:hint="eastAsia" w:ascii="Times New Roman" w:hAnsi="Times New Roman" w:eastAsia="仿宋_GB2312"/>
                <w:sz w:val="28"/>
                <w:szCs w:val="28"/>
              </w:rPr>
              <w:t>25%</w:t>
            </w:r>
            <w:r>
              <w:rPr>
                <w:rFonts w:hint="eastAsia" w:ascii="仿宋_GB2312" w:hAnsi="Times New Roman" w:eastAsia="仿宋_GB2312"/>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tcPr>
          <w:p>
            <w:pPr>
              <w:spacing w:line="500" w:lineRule="exact"/>
              <w:rPr>
                <w:rFonts w:ascii="仿宋_GB2312" w:hAnsi="Times New Roman" w:eastAsia="仿宋_GB2312"/>
                <w:sz w:val="28"/>
                <w:szCs w:val="28"/>
              </w:rPr>
            </w:pPr>
          </w:p>
        </w:tc>
        <w:tc>
          <w:tcPr>
            <w:tcW w:w="6949" w:type="dxa"/>
            <w:gridSpan w:val="2"/>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w:t>
            </w:r>
            <w:r>
              <w:rPr>
                <w:rFonts w:hint="eastAsia" w:ascii="Times New Roman" w:hAnsi="Times New Roman" w:eastAsia="仿宋_GB2312"/>
                <w:sz w:val="28"/>
                <w:szCs w:val="28"/>
              </w:rPr>
              <w:t>4</w:t>
            </w:r>
            <w:r>
              <w:rPr>
                <w:rFonts w:hint="eastAsia" w:ascii="仿宋_GB2312" w:hAnsi="Times New Roman" w:eastAsia="仿宋_GB2312"/>
                <w:sz w:val="28"/>
                <w:szCs w:val="28"/>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tcPr>
          <w:p>
            <w:pPr>
              <w:spacing w:line="500" w:lineRule="exact"/>
              <w:rPr>
                <w:rFonts w:ascii="仿宋_GB2312" w:hAnsi="Times New Roman" w:eastAsia="仿宋_GB2312"/>
                <w:sz w:val="28"/>
                <w:szCs w:val="28"/>
              </w:rPr>
            </w:pPr>
          </w:p>
        </w:tc>
        <w:tc>
          <w:tcPr>
            <w:tcW w:w="6949" w:type="dxa"/>
            <w:gridSpan w:val="2"/>
          </w:tcPr>
          <w:p>
            <w:pPr>
              <w:spacing w:line="500" w:lineRule="exact"/>
              <w:rPr>
                <w:rFonts w:ascii="仿宋_GB2312" w:hAnsi="Times New Roman" w:eastAsia="仿宋_GB2312"/>
                <w:sz w:val="28"/>
                <w:szCs w:val="28"/>
              </w:rPr>
            </w:pPr>
            <w:r>
              <w:rPr>
                <w:rFonts w:ascii="仿宋_GB2312" w:hAnsi="Times New Roman" w:eastAsia="仿宋_GB2312"/>
                <w:sz w:val="28"/>
                <w:szCs w:val="28"/>
              </w:rPr>
              <w:sym w:font="Wingdings" w:char="F0FE"/>
            </w:r>
            <w:r>
              <w:rPr>
                <w:rFonts w:hint="eastAsia" w:ascii="Times New Roman" w:hAnsi="Times New Roman" w:eastAsia="仿宋_GB2312"/>
                <w:sz w:val="28"/>
                <w:szCs w:val="28"/>
              </w:rPr>
              <w:t>5</w:t>
            </w:r>
            <w:r>
              <w:rPr>
                <w:rFonts w:hint="eastAsia" w:ascii="仿宋_GB2312" w:hAnsi="Times New Roman" w:eastAsia="仿宋_GB2312"/>
                <w:sz w:val="28"/>
                <w:szCs w:val="28"/>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tcPr>
          <w:p>
            <w:pPr>
              <w:spacing w:line="500" w:lineRule="exact"/>
              <w:rPr>
                <w:rFonts w:ascii="仿宋_GB2312" w:hAnsi="Times New Roman" w:eastAsia="仿宋_GB2312"/>
                <w:sz w:val="28"/>
                <w:szCs w:val="28"/>
              </w:rPr>
            </w:pPr>
          </w:p>
        </w:tc>
        <w:tc>
          <w:tcPr>
            <w:tcW w:w="6949" w:type="dxa"/>
            <w:gridSpan w:val="2"/>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w:t>
            </w:r>
            <w:r>
              <w:rPr>
                <w:rFonts w:hint="eastAsia" w:ascii="Times New Roman" w:hAnsi="Times New Roman" w:eastAsia="仿宋_GB2312"/>
                <w:sz w:val="28"/>
                <w:szCs w:val="28"/>
              </w:rPr>
              <w:t>6</w:t>
            </w:r>
            <w:r>
              <w:rPr>
                <w:rFonts w:hint="eastAsia" w:ascii="仿宋_GB2312" w:hAnsi="Times New Roman" w:eastAsia="仿宋_GB2312"/>
                <w:sz w:val="28"/>
                <w:szCs w:val="28"/>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备注</w:t>
            </w:r>
          </w:p>
        </w:tc>
        <w:tc>
          <w:tcPr>
            <w:tcW w:w="6949" w:type="dxa"/>
            <w:gridSpan w:val="2"/>
          </w:tcPr>
          <w:p>
            <w:pPr>
              <w:spacing w:line="500" w:lineRule="exact"/>
              <w:rPr>
                <w:rFonts w:ascii="仿宋_GB2312" w:hAnsi="Times New Roman" w:eastAsia="仿宋_GB2312"/>
                <w:sz w:val="28"/>
                <w:szCs w:val="28"/>
              </w:rPr>
            </w:pPr>
          </w:p>
        </w:tc>
      </w:tr>
    </w:tbl>
    <w:p>
      <w:pPr>
        <w:snapToGrid w:val="0"/>
        <w:spacing w:line="240" w:lineRule="exact"/>
        <w:jc w:val="left"/>
        <w:rPr>
          <w:rFonts w:ascii="楷体_GB2312" w:hAnsi="宋体" w:eastAsia="楷体_GB2312"/>
          <w:sz w:val="24"/>
          <w:szCs w:val="24"/>
        </w:rPr>
      </w:pPr>
    </w:p>
    <w:p>
      <w:pPr>
        <w:snapToGrid w:val="0"/>
        <w:spacing w:line="240" w:lineRule="exact"/>
        <w:jc w:val="left"/>
        <w:rPr>
          <w:rFonts w:ascii="楷体_GB2312" w:hAnsi="宋体" w:eastAsia="楷体_GB2312"/>
          <w:sz w:val="24"/>
          <w:szCs w:val="24"/>
        </w:rPr>
      </w:pPr>
      <w:r>
        <w:rPr>
          <w:rFonts w:hint="eastAsia" w:ascii="楷体_GB2312" w:hAnsi="宋体" w:eastAsia="楷体_GB2312"/>
          <w:sz w:val="24"/>
          <w:szCs w:val="24"/>
        </w:rPr>
        <w:t>注解：</w:t>
      </w:r>
    </w:p>
    <w:p>
      <w:pPr>
        <w:snapToGrid w:val="0"/>
        <w:spacing w:line="360" w:lineRule="auto"/>
        <w:ind w:firstLine="480" w:firstLineChars="200"/>
        <w:jc w:val="left"/>
        <w:rPr>
          <w:rFonts w:ascii="楷体_GB2312" w:hAnsi="宋体" w:eastAsia="楷体_GB2312"/>
          <w:sz w:val="24"/>
          <w:szCs w:val="24"/>
        </w:rPr>
      </w:pPr>
      <w:r>
        <w:rPr>
          <w:rFonts w:ascii="Times New Roman" w:hAnsi="Times New Roman" w:eastAsia="楷体_GB2312"/>
          <w:sz w:val="24"/>
          <w:szCs w:val="24"/>
        </w:rPr>
        <w:t>1</w:t>
      </w:r>
      <w:r>
        <w:rPr>
          <w:rFonts w:hint="eastAsia" w:ascii="楷体_GB2312" w:hAnsi="宋体" w:eastAsia="楷体_GB2312"/>
          <w:sz w:val="24"/>
          <w:szCs w:val="24"/>
        </w:rPr>
        <w:t>、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楷体_GB2312" w:hAnsi="Times New Roman" w:eastAsia="楷体_GB2312"/>
          <w:sz w:val="28"/>
          <w:szCs w:val="28"/>
        </w:rPr>
      </w:pPr>
      <w:r>
        <w:rPr>
          <w:rFonts w:hint="eastAsia" w:ascii="Times New Roman" w:hAnsi="Times New Roman" w:eastAsia="楷体_GB2312"/>
          <w:sz w:val="24"/>
          <w:szCs w:val="24"/>
        </w:rPr>
        <w:t>2</w:t>
      </w:r>
      <w:r>
        <w:rPr>
          <w:rFonts w:hint="eastAsia" w:ascii="楷体_GB2312" w:hAnsi="宋体" w:eastAsia="楷体_GB2312"/>
          <w:sz w:val="24"/>
          <w:szCs w:val="24"/>
        </w:rPr>
        <w:t>、申报方申请简易案件的理由是基于第4项、第5项时，无须在备注中说明相关市场和市场份额。</w:t>
      </w:r>
      <w:r>
        <w:rPr>
          <w:rFonts w:hint="eastAsia" w:ascii="楷体_GB2312" w:hAnsi="宋体" w:eastAsia="楷体_GB2312"/>
          <w:sz w:val="24"/>
          <w:szCs w:val="24"/>
        </w:rPr>
        <w:br w:type="textWrapping"/>
      </w:r>
      <w:r>
        <w:rPr>
          <w:rFonts w:hint="eastAsia" w:ascii="楷体_GB2312" w:hAnsi="宋体" w:eastAsia="楷体_GB2312"/>
          <w:sz w:val="24"/>
          <w:szCs w:val="24"/>
        </w:rPr>
        <w:t xml:space="preserve">    </w:t>
      </w:r>
      <w:r>
        <w:rPr>
          <w:rFonts w:hint="eastAsia" w:ascii="Times New Roman" w:hAnsi="Times New Roman" w:eastAsia="楷体_GB2312"/>
          <w:sz w:val="24"/>
          <w:szCs w:val="24"/>
        </w:rPr>
        <w:t>3</w:t>
      </w:r>
      <w:r>
        <w:rPr>
          <w:rFonts w:hint="eastAsia" w:ascii="楷体_GB2312" w:hAnsi="宋体" w:eastAsia="楷体_GB2312"/>
          <w:sz w:val="24"/>
          <w:szCs w:val="24"/>
        </w:rPr>
        <w:t>、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NotTrackMoves/>
  <w:doNotTrackFormatting/>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094095"/>
    <w:rsid w:val="000134E8"/>
    <w:rsid w:val="00083418"/>
    <w:rsid w:val="00094095"/>
    <w:rsid w:val="000A14BB"/>
    <w:rsid w:val="000D5955"/>
    <w:rsid w:val="000F04BF"/>
    <w:rsid w:val="00164331"/>
    <w:rsid w:val="001E0AA5"/>
    <w:rsid w:val="002023BE"/>
    <w:rsid w:val="00202BEC"/>
    <w:rsid w:val="00210DCE"/>
    <w:rsid w:val="002454B9"/>
    <w:rsid w:val="00245776"/>
    <w:rsid w:val="00277C80"/>
    <w:rsid w:val="0029549A"/>
    <w:rsid w:val="002A3524"/>
    <w:rsid w:val="002C5185"/>
    <w:rsid w:val="002D5426"/>
    <w:rsid w:val="002F2D60"/>
    <w:rsid w:val="002F7881"/>
    <w:rsid w:val="00307976"/>
    <w:rsid w:val="0033679C"/>
    <w:rsid w:val="00352484"/>
    <w:rsid w:val="003623D7"/>
    <w:rsid w:val="0036298A"/>
    <w:rsid w:val="00363646"/>
    <w:rsid w:val="003A09C9"/>
    <w:rsid w:val="003F431C"/>
    <w:rsid w:val="00462174"/>
    <w:rsid w:val="004671F7"/>
    <w:rsid w:val="00486565"/>
    <w:rsid w:val="004C1240"/>
    <w:rsid w:val="00504C35"/>
    <w:rsid w:val="005050E9"/>
    <w:rsid w:val="00566644"/>
    <w:rsid w:val="005F167B"/>
    <w:rsid w:val="00602662"/>
    <w:rsid w:val="006412A3"/>
    <w:rsid w:val="0069442D"/>
    <w:rsid w:val="006C3F7A"/>
    <w:rsid w:val="007B7F94"/>
    <w:rsid w:val="007D16CA"/>
    <w:rsid w:val="007E6165"/>
    <w:rsid w:val="008208A0"/>
    <w:rsid w:val="00821298"/>
    <w:rsid w:val="00857500"/>
    <w:rsid w:val="00890605"/>
    <w:rsid w:val="008E3473"/>
    <w:rsid w:val="00911375"/>
    <w:rsid w:val="00911606"/>
    <w:rsid w:val="00956308"/>
    <w:rsid w:val="00976846"/>
    <w:rsid w:val="00992D10"/>
    <w:rsid w:val="00A03B6C"/>
    <w:rsid w:val="00A23C5C"/>
    <w:rsid w:val="00A46243"/>
    <w:rsid w:val="00A71F19"/>
    <w:rsid w:val="00A80785"/>
    <w:rsid w:val="00A81165"/>
    <w:rsid w:val="00A81366"/>
    <w:rsid w:val="00A877D1"/>
    <w:rsid w:val="00AB4321"/>
    <w:rsid w:val="00AB6C08"/>
    <w:rsid w:val="00AD6C59"/>
    <w:rsid w:val="00B900D5"/>
    <w:rsid w:val="00B9091E"/>
    <w:rsid w:val="00B955F5"/>
    <w:rsid w:val="00BA0750"/>
    <w:rsid w:val="00BB2377"/>
    <w:rsid w:val="00BB494A"/>
    <w:rsid w:val="00C04FCA"/>
    <w:rsid w:val="00C66FFC"/>
    <w:rsid w:val="00C70A8F"/>
    <w:rsid w:val="00C9068E"/>
    <w:rsid w:val="00CA0123"/>
    <w:rsid w:val="00CA119A"/>
    <w:rsid w:val="00D21777"/>
    <w:rsid w:val="00D71002"/>
    <w:rsid w:val="00E409F4"/>
    <w:rsid w:val="00E677B7"/>
    <w:rsid w:val="00E83371"/>
    <w:rsid w:val="00ED21B1"/>
    <w:rsid w:val="00ED2EDC"/>
    <w:rsid w:val="00F12226"/>
    <w:rsid w:val="00F676FD"/>
    <w:rsid w:val="00F71C4A"/>
    <w:rsid w:val="00F87C1F"/>
    <w:rsid w:val="00FA6C01"/>
    <w:rsid w:val="00FC68CA"/>
    <w:rsid w:val="6AD4108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uiPriority w:val="1"/>
  </w:style>
  <w:style w:type="table" w:default="1" w:styleId="11">
    <w:name w:val="Normal Table"/>
    <w:semiHidden/>
    <w:unhideWhenUsed/>
    <w:qFormat/>
    <w:uiPriority w:val="99"/>
    <w:tblPr>
      <w:tblLayout w:type="fixed"/>
      <w:tblCellMar>
        <w:top w:w="0" w:type="dxa"/>
        <w:left w:w="108" w:type="dxa"/>
        <w:bottom w:w="0" w:type="dxa"/>
        <w:right w:w="108" w:type="dxa"/>
      </w:tblCellMar>
    </w:tblPr>
  </w:style>
  <w:style w:type="paragraph" w:styleId="2">
    <w:name w:val="annotation subject"/>
    <w:basedOn w:val="3"/>
    <w:next w:val="3"/>
    <w:link w:val="17"/>
    <w:semiHidden/>
    <w:unhideWhenUsed/>
    <w:qFormat/>
    <w:uiPriority w:val="99"/>
    <w:rPr>
      <w:b/>
      <w:bCs/>
    </w:rPr>
  </w:style>
  <w:style w:type="paragraph" w:styleId="3">
    <w:name w:val="annotation text"/>
    <w:basedOn w:val="1"/>
    <w:link w:val="16"/>
    <w:semiHidden/>
    <w:unhideWhenUsed/>
    <w:qFormat/>
    <w:uiPriority w:val="99"/>
    <w:pPr>
      <w:jc w:val="left"/>
    </w:pPr>
  </w:style>
  <w:style w:type="paragraph" w:styleId="4">
    <w:name w:val="endnote text"/>
    <w:basedOn w:val="1"/>
    <w:link w:val="13"/>
    <w:semiHidden/>
    <w:unhideWhenUsed/>
    <w:uiPriority w:val="99"/>
    <w:pPr>
      <w:snapToGrid w:val="0"/>
      <w:jc w:val="left"/>
    </w:pPr>
  </w:style>
  <w:style w:type="paragraph" w:styleId="5">
    <w:name w:val="Balloon Text"/>
    <w:basedOn w:val="1"/>
    <w:link w:val="18"/>
    <w:semiHidden/>
    <w:unhideWhenUsed/>
    <w:qFormat/>
    <w:uiPriority w:val="99"/>
    <w:rPr>
      <w:sz w:val="18"/>
      <w:szCs w:val="18"/>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9">
    <w:name w:val="endnote reference"/>
    <w:semiHidden/>
    <w:unhideWhenUsed/>
    <w:qFormat/>
    <w:uiPriority w:val="99"/>
    <w:rPr>
      <w:vertAlign w:val="superscript"/>
    </w:rPr>
  </w:style>
  <w:style w:type="character" w:styleId="10">
    <w:name w:val="annotation reference"/>
    <w:basedOn w:val="8"/>
    <w:semiHidden/>
    <w:unhideWhenUsed/>
    <w:qFormat/>
    <w:uiPriority w:val="99"/>
    <w:rPr>
      <w:sz w:val="21"/>
      <w:szCs w:val="21"/>
    </w:rPr>
  </w:style>
  <w:style w:type="table" w:styleId="12">
    <w:name w:val="Table Grid"/>
    <w:basedOn w:val="11"/>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13">
    <w:name w:val="尾注文本 Char"/>
    <w:basedOn w:val="8"/>
    <w:link w:val="4"/>
    <w:semiHidden/>
    <w:uiPriority w:val="99"/>
  </w:style>
  <w:style w:type="character" w:customStyle="1" w:styleId="14">
    <w:name w:val="页眉 Char"/>
    <w:link w:val="7"/>
    <w:qFormat/>
    <w:uiPriority w:val="99"/>
    <w:rPr>
      <w:sz w:val="18"/>
      <w:szCs w:val="18"/>
    </w:rPr>
  </w:style>
  <w:style w:type="character" w:customStyle="1" w:styleId="15">
    <w:name w:val="页脚 Char"/>
    <w:link w:val="6"/>
    <w:qFormat/>
    <w:uiPriority w:val="99"/>
    <w:rPr>
      <w:sz w:val="18"/>
      <w:szCs w:val="18"/>
    </w:rPr>
  </w:style>
  <w:style w:type="character" w:customStyle="1" w:styleId="16">
    <w:name w:val="批注文字 Char"/>
    <w:basedOn w:val="8"/>
    <w:link w:val="3"/>
    <w:semiHidden/>
    <w:qFormat/>
    <w:uiPriority w:val="99"/>
    <w:rPr>
      <w:kern w:val="2"/>
      <w:sz w:val="21"/>
      <w:szCs w:val="22"/>
      <w:lang w:val="en-US" w:bidi="ar-SA"/>
    </w:rPr>
  </w:style>
  <w:style w:type="character" w:customStyle="1" w:styleId="17">
    <w:name w:val="批注主题 Char"/>
    <w:basedOn w:val="16"/>
    <w:link w:val="2"/>
    <w:semiHidden/>
    <w:qFormat/>
    <w:uiPriority w:val="99"/>
    <w:rPr>
      <w:b/>
      <w:bCs/>
      <w:kern w:val="2"/>
      <w:sz w:val="21"/>
      <w:szCs w:val="22"/>
      <w:lang w:val="en-US" w:bidi="ar-SA"/>
    </w:rPr>
  </w:style>
  <w:style w:type="character" w:customStyle="1" w:styleId="18">
    <w:name w:val="批注框文本 Char"/>
    <w:basedOn w:val="8"/>
    <w:link w:val="5"/>
    <w:semiHidden/>
    <w:qFormat/>
    <w:uiPriority w:val="99"/>
    <w:rPr>
      <w:kern w:val="2"/>
      <w:sz w:val="18"/>
      <w:szCs w:val="18"/>
      <w:lang w:val="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7939B0-5DF7-4349-B714-A551A06F00D7}">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3</Pages>
  <Words>200</Words>
  <Characters>1146</Characters>
  <Lines>9</Lines>
  <Paragraphs>2</Paragraphs>
  <TotalTime>0</TotalTime>
  <ScaleCrop>false</ScaleCrop>
  <LinksUpToDate>false</LinksUpToDate>
  <CharactersWithSpaces>1344</CharactersWithSpaces>
  <Application>WPS Office_10.1.0.7311_F1E327BC-269C-435d-A152-05C5408002CA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2018-04-26T03:54:00Z</dcterms:created>
  <dc:creator>dell</dc:creator>
  <cp:lastModifiedBy>T&amp;D </cp:lastModifiedBy>
  <cp:lastPrinted>2014-10-08T02:48:00Z</cp:lastPrinted>
  <dcterms:modified xsi:type="dcterms:W3CDTF">2018-04-26T04:00:20Z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A36122288</vt:lpwstr>
  </property>
  <property fmtid="{D5CDD505-2E9C-101B-9397-08002B2CF9AE}" pid="3" name="Version">
    <vt:lpwstr>0.7</vt:lpwstr>
  </property>
  <property fmtid="{D5CDD505-2E9C-101B-9397-08002B2CF9AE}" pid="4" name="Last Modified">
    <vt:lpwstr>19 Mar 2018</vt:lpwstr>
  </property>
  <property fmtid="{D5CDD505-2E9C-101B-9397-08002B2CF9AE}" pid="5" name="Matter Number">
    <vt:lpwstr>L-269343</vt:lpwstr>
  </property>
  <property fmtid="{D5CDD505-2E9C-101B-9397-08002B2CF9AE}" pid="6" name="Client Code">
    <vt:lpwstr>10253201</vt:lpwstr>
  </property>
  <property fmtid="{D5CDD505-2E9C-101B-9397-08002B2CF9AE}" pid="7" name="Mode">
    <vt:lpwstr>SendAs</vt:lpwstr>
  </property>
  <property fmtid="{D5CDD505-2E9C-101B-9397-08002B2CF9AE}" pid="8" name="DEDocumentLocation">
    <vt:lpwstr>C:\Users\aqlee\AppData\Local\Linklaters\DocExplorer\Attachments\180320_Ladder_Final Simple Case Publicity Form_CHN.docx</vt:lpwstr>
  </property>
  <property fmtid="{D5CDD505-2E9C-101B-9397-08002B2CF9AE}" pid="9" name="ObjectID">
    <vt:lpwstr>09001dc891a1b8db</vt:lpwstr>
  </property>
  <property fmtid="{D5CDD505-2E9C-101B-9397-08002B2CF9AE}" pid="10" name="KSOProductBuildVer">
    <vt:lpwstr>2052-10.1.0.7311</vt:lpwstr>
  </property>
</Properties>
</file>