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1641" w:rsidRPr="008E7B8C" w:rsidRDefault="00D41641" w:rsidP="00094095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  <w:r w:rsidRPr="00202C4C">
        <w:rPr>
          <w:rFonts w:ascii="黑体" w:eastAsia="黑体" w:hAnsi="Times New Roman" w:cs="黑体" w:hint="eastAsia"/>
          <w:sz w:val="30"/>
          <w:szCs w:val="30"/>
        </w:rPr>
        <w:t>经营者集中简易案件公示表</w:t>
      </w:r>
    </w:p>
    <w:p w:rsidR="00D41641" w:rsidRDefault="00D41641" w:rsidP="00094095">
      <w:pPr>
        <w:spacing w:line="440" w:lineRule="exact"/>
        <w:rPr>
          <w:rFonts w:ascii="黑体" w:eastAsia="黑体" w:hAnsi="Times New Roman" w:cs="Times New Roman"/>
          <w:sz w:val="28"/>
          <w:szCs w:val="28"/>
        </w:rPr>
      </w:pPr>
    </w:p>
    <w:p w:rsidR="00D41641" w:rsidRPr="00BA1596" w:rsidRDefault="00D41641" w:rsidP="000847F6">
      <w:pPr>
        <w:spacing w:line="440" w:lineRule="exact"/>
        <w:ind w:firstLineChars="302" w:firstLine="31680"/>
        <w:rPr>
          <w:rFonts w:ascii="仿宋_GB2312" w:eastAsia="仿宋_GB2312" w:hAnsi="Times New Roman" w:cs="Times New Roman"/>
          <w:sz w:val="28"/>
          <w:szCs w:val="28"/>
        </w:rPr>
      </w:pPr>
    </w:p>
    <w:tbl>
      <w:tblPr>
        <w:tblW w:w="8758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809"/>
        <w:gridCol w:w="1796"/>
        <w:gridCol w:w="5153"/>
      </w:tblGrid>
      <w:tr w:rsidR="00D41641" w:rsidRPr="000E7D5B" w:rsidTr="000847F6">
        <w:tc>
          <w:tcPr>
            <w:tcW w:w="1809" w:type="dxa"/>
          </w:tcPr>
          <w:p w:rsidR="00D41641" w:rsidRPr="000847F6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b/>
                <w:bCs/>
                <w:sz w:val="28"/>
                <w:szCs w:val="28"/>
              </w:rPr>
            </w:pPr>
            <w:r w:rsidRPr="000847F6">
              <w:rPr>
                <w:rFonts w:ascii="仿宋_GB2312" w:eastAsia="仿宋_GB2312" w:hAnsi="Times New Roman" w:cs="仿宋_GB2312" w:hint="eastAsia"/>
                <w:b/>
                <w:bCs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D41641" w:rsidRPr="000E7D5B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广厦控股集团有限公司收购浙江天都实业有限公司股权案</w:t>
            </w:r>
          </w:p>
        </w:tc>
      </w:tr>
      <w:tr w:rsidR="00D41641" w:rsidRPr="000E7D5B" w:rsidTr="000847F6">
        <w:trPr>
          <w:trHeight w:val="993"/>
        </w:trPr>
        <w:tc>
          <w:tcPr>
            <w:tcW w:w="1809" w:type="dxa"/>
          </w:tcPr>
          <w:p w:rsidR="00D41641" w:rsidRPr="000847F6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b/>
                <w:bCs/>
                <w:sz w:val="28"/>
                <w:szCs w:val="28"/>
              </w:rPr>
            </w:pPr>
            <w:r w:rsidRPr="000847F6">
              <w:rPr>
                <w:rFonts w:ascii="仿宋_GB2312" w:eastAsia="仿宋_GB2312" w:hAnsi="Times New Roman" w:cs="仿宋_GB2312" w:hint="eastAsia"/>
                <w:b/>
                <w:bCs/>
                <w:sz w:val="28"/>
                <w:szCs w:val="28"/>
              </w:rPr>
              <w:t>交易概况（限</w:t>
            </w:r>
            <w:r w:rsidRPr="000847F6">
              <w:rPr>
                <w:rFonts w:ascii="仿宋_GB2312" w:eastAsia="仿宋_GB2312" w:hAnsi="Times New Roman" w:cs="仿宋_GB2312"/>
                <w:b/>
                <w:bCs/>
                <w:sz w:val="28"/>
                <w:szCs w:val="28"/>
              </w:rPr>
              <w:t>200</w:t>
            </w:r>
            <w:r w:rsidRPr="000847F6">
              <w:rPr>
                <w:rFonts w:ascii="仿宋_GB2312" w:eastAsia="仿宋_GB2312" w:hAnsi="Times New Roman" w:cs="仿宋_GB2312" w:hint="eastAsia"/>
                <w:b/>
                <w:bCs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D41641" w:rsidRPr="000E7D5B" w:rsidRDefault="00D41641" w:rsidP="00D41641">
            <w:pPr>
              <w:spacing w:line="500" w:lineRule="exact"/>
              <w:ind w:firstLineChars="200" w:firstLine="3168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本次交易为广厦控股集团有限公司</w:t>
            </w:r>
            <w:r w:rsidRPr="000E7D5B">
              <w:rPr>
                <w:rFonts w:ascii="仿宋_GB2312" w:eastAsia="仿宋_GB2312" w:hAnsi="Times New Roman" w:cs="仿宋_GB2312"/>
                <w:sz w:val="28"/>
                <w:szCs w:val="28"/>
              </w:rPr>
              <w:t>(</w:t>
            </w: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以下称“广厦控股”</w:t>
            </w:r>
            <w:r w:rsidRPr="000E7D5B">
              <w:rPr>
                <w:rFonts w:ascii="仿宋_GB2312" w:eastAsia="仿宋_GB2312" w:hAnsi="Times New Roman" w:cs="仿宋_GB2312"/>
                <w:sz w:val="28"/>
                <w:szCs w:val="28"/>
              </w:rPr>
              <w:t>)</w:t>
            </w: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以现金支付的方式，购买浙江广厦股份有限公司（以下称“浙江广厦”）所持有的浙江天都实业有限公司（以下称“天都实业”）</w:t>
            </w:r>
            <w:r w:rsidRPr="000E7D5B">
              <w:rPr>
                <w:rFonts w:ascii="仿宋_GB2312" w:eastAsia="仿宋_GB2312" w:hAnsi="Times New Roman" w:cs="仿宋_GB2312"/>
                <w:sz w:val="28"/>
                <w:szCs w:val="28"/>
              </w:rPr>
              <w:t>100%</w:t>
            </w: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的股权。</w:t>
            </w:r>
          </w:p>
        </w:tc>
      </w:tr>
      <w:tr w:rsidR="00D41641" w:rsidRPr="000E7D5B" w:rsidTr="000847F6">
        <w:trPr>
          <w:trHeight w:val="468"/>
        </w:trPr>
        <w:tc>
          <w:tcPr>
            <w:tcW w:w="1809" w:type="dxa"/>
            <w:vMerge w:val="restart"/>
          </w:tcPr>
          <w:p w:rsidR="00D41641" w:rsidRPr="000847F6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b/>
                <w:bCs/>
                <w:sz w:val="28"/>
                <w:szCs w:val="28"/>
              </w:rPr>
            </w:pPr>
            <w:r w:rsidRPr="000847F6">
              <w:rPr>
                <w:rFonts w:ascii="仿宋_GB2312" w:eastAsia="仿宋_GB2312" w:hAnsi="Times New Roman" w:cs="仿宋_GB2312" w:hint="eastAsia"/>
                <w:b/>
                <w:bCs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D41641" w:rsidRPr="000E7D5B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0E7D5B">
              <w:rPr>
                <w:rFonts w:ascii="仿宋_GB2312" w:eastAsia="仿宋_GB2312" w:hAnsi="Times New Roman" w:cs="仿宋_GB2312"/>
                <w:sz w:val="28"/>
                <w:szCs w:val="28"/>
              </w:rPr>
              <w:t>1</w:t>
            </w: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、广厦控股集团有限公司</w:t>
            </w:r>
          </w:p>
        </w:tc>
        <w:tc>
          <w:tcPr>
            <w:tcW w:w="5153" w:type="dxa"/>
          </w:tcPr>
          <w:p w:rsidR="00D41641" w:rsidRPr="000E7D5B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广厦控股集团有限公司成立于</w:t>
            </w:r>
            <w:r w:rsidRPr="000E7D5B">
              <w:rPr>
                <w:rFonts w:ascii="仿宋_GB2312" w:eastAsia="仿宋_GB2312" w:hAnsi="Times New Roman" w:cs="仿宋_GB2312"/>
                <w:sz w:val="28"/>
                <w:szCs w:val="28"/>
              </w:rPr>
              <w:t>2002</w:t>
            </w: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年，是一家从事风险、实业投资、兼并重组及建筑材料等产品销售的公司，广厦控股通过其控股、参股的子公司主要经营建筑施工、房地产开发、影视文化、教育</w:t>
            </w:r>
            <w:bookmarkStart w:id="0" w:name="_GoBack"/>
            <w:bookmarkEnd w:id="0"/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等业务。</w:t>
            </w:r>
          </w:p>
        </w:tc>
      </w:tr>
      <w:tr w:rsidR="00D41641" w:rsidRPr="000E7D5B" w:rsidTr="000847F6">
        <w:trPr>
          <w:trHeight w:val="404"/>
        </w:trPr>
        <w:tc>
          <w:tcPr>
            <w:tcW w:w="1809" w:type="dxa"/>
            <w:vMerge/>
            <w:shd w:val="clear" w:color="auto" w:fill="9FD3A4"/>
          </w:tcPr>
          <w:p w:rsidR="00D41641" w:rsidRPr="000847F6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796" w:type="dxa"/>
          </w:tcPr>
          <w:p w:rsidR="00D41641" w:rsidRPr="000E7D5B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0E7D5B">
              <w:rPr>
                <w:rFonts w:ascii="仿宋_GB2312" w:eastAsia="仿宋_GB2312" w:hAnsi="Times New Roman" w:cs="仿宋_GB2312"/>
                <w:sz w:val="28"/>
                <w:szCs w:val="28"/>
              </w:rPr>
              <w:t>2</w:t>
            </w: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、浙江天都实业有限公司</w:t>
            </w:r>
          </w:p>
        </w:tc>
        <w:tc>
          <w:tcPr>
            <w:tcW w:w="5153" w:type="dxa"/>
          </w:tcPr>
          <w:p w:rsidR="00D41641" w:rsidRPr="000E7D5B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浙江天都实业有限公司成立于</w:t>
            </w:r>
            <w:r w:rsidRPr="000E7D5B">
              <w:rPr>
                <w:rFonts w:ascii="仿宋_GB2312" w:eastAsia="仿宋_GB2312" w:hAnsi="Times New Roman" w:cs="仿宋_GB2312"/>
                <w:sz w:val="28"/>
                <w:szCs w:val="28"/>
              </w:rPr>
              <w:t>1998</w:t>
            </w: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年，主要经营房地产开发业务，开发项目主要位于浙江省杭州市。公司还通过全资子公司浙江天都城酒店有限公司从事宾馆服务业务。</w:t>
            </w:r>
          </w:p>
        </w:tc>
      </w:tr>
      <w:tr w:rsidR="00D41641" w:rsidRPr="000E7D5B" w:rsidTr="000847F6">
        <w:trPr>
          <w:trHeight w:val="279"/>
        </w:trPr>
        <w:tc>
          <w:tcPr>
            <w:tcW w:w="1809" w:type="dxa"/>
            <w:vMerge w:val="restart"/>
          </w:tcPr>
          <w:p w:rsidR="00D41641" w:rsidRPr="000847F6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b/>
                <w:bCs/>
                <w:sz w:val="28"/>
                <w:szCs w:val="28"/>
              </w:rPr>
            </w:pPr>
            <w:r w:rsidRPr="000847F6">
              <w:rPr>
                <w:rFonts w:ascii="仿宋_GB2312" w:eastAsia="仿宋_GB2312" w:hAnsi="Times New Roman" w:cs="仿宋_GB2312" w:hint="eastAsia"/>
                <w:b/>
                <w:bCs/>
                <w:sz w:val="28"/>
                <w:szCs w:val="28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:rsidR="00D41641" w:rsidRPr="000E7D5B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0E7D5B">
              <w:rPr>
                <w:rFonts w:ascii="仿宋_GB2312" w:eastAsia="仿宋_GB2312" w:hAnsi="Wingdings 2" w:cs="Times New Roman" w:hint="eastAsia"/>
                <w:sz w:val="28"/>
                <w:szCs w:val="28"/>
              </w:rPr>
              <w:sym w:font="Wingdings 2" w:char="F052"/>
            </w:r>
            <w:r w:rsidRPr="000E7D5B">
              <w:rPr>
                <w:rFonts w:ascii="仿宋_GB2312" w:eastAsia="仿宋_GB2312" w:hAnsi="Times New Roman" w:cs="仿宋_GB2312"/>
                <w:sz w:val="28"/>
                <w:szCs w:val="28"/>
              </w:rPr>
              <w:t>1</w:t>
            </w: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、在同一相关市场，所有参与集中的经营者所占市场份额之和小于</w:t>
            </w:r>
            <w:r w:rsidRPr="000E7D5B">
              <w:rPr>
                <w:rFonts w:ascii="仿宋_GB2312" w:eastAsia="仿宋_GB2312" w:hAnsi="Times New Roman" w:cs="仿宋_GB2312"/>
                <w:sz w:val="28"/>
                <w:szCs w:val="28"/>
              </w:rPr>
              <w:t>15%</w:t>
            </w: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。</w:t>
            </w:r>
          </w:p>
        </w:tc>
      </w:tr>
      <w:tr w:rsidR="00D41641" w:rsidRPr="000E7D5B" w:rsidTr="000847F6">
        <w:trPr>
          <w:trHeight w:val="330"/>
        </w:trPr>
        <w:tc>
          <w:tcPr>
            <w:tcW w:w="1809" w:type="dxa"/>
            <w:vMerge/>
            <w:shd w:val="clear" w:color="auto" w:fill="9FD3A4"/>
          </w:tcPr>
          <w:p w:rsidR="00D41641" w:rsidRPr="000847F6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1641" w:rsidRPr="000E7D5B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0E7D5B">
              <w:rPr>
                <w:rFonts w:ascii="仿宋_GB2312" w:eastAsia="仿宋_GB2312" w:hAnsi="Wingdings 2" w:cs="Times New Roman" w:hint="eastAsia"/>
                <w:sz w:val="28"/>
                <w:szCs w:val="28"/>
              </w:rPr>
              <w:sym w:font="Wingdings 2" w:char="F052"/>
            </w:r>
            <w:r w:rsidRPr="000E7D5B">
              <w:rPr>
                <w:rFonts w:ascii="仿宋_GB2312" w:eastAsia="仿宋_GB2312" w:hAnsi="Times New Roman" w:cs="仿宋_GB2312"/>
                <w:sz w:val="28"/>
                <w:szCs w:val="28"/>
              </w:rPr>
              <w:t>2</w:t>
            </w: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、存在上下游关系的参与集中的经营者，在上下游市场所占的市场份额均小于</w:t>
            </w:r>
            <w:r w:rsidRPr="000E7D5B">
              <w:rPr>
                <w:rFonts w:ascii="仿宋_GB2312" w:eastAsia="仿宋_GB2312" w:hAnsi="Times New Roman" w:cs="仿宋_GB2312"/>
                <w:sz w:val="28"/>
                <w:szCs w:val="28"/>
              </w:rPr>
              <w:t>25%</w:t>
            </w: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。</w:t>
            </w:r>
          </w:p>
        </w:tc>
      </w:tr>
      <w:tr w:rsidR="00D41641" w:rsidRPr="000E7D5B" w:rsidTr="000847F6">
        <w:trPr>
          <w:trHeight w:val="285"/>
        </w:trPr>
        <w:tc>
          <w:tcPr>
            <w:tcW w:w="1809" w:type="dxa"/>
            <w:vMerge/>
            <w:shd w:val="clear" w:color="auto" w:fill="9FD3A4"/>
          </w:tcPr>
          <w:p w:rsidR="00D41641" w:rsidRPr="000847F6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1641" w:rsidRPr="000E7D5B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□</w:t>
            </w:r>
            <w:r w:rsidRPr="000E7D5B">
              <w:rPr>
                <w:rFonts w:ascii="仿宋_GB2312" w:eastAsia="仿宋_GB2312" w:hAnsi="Times New Roman" w:cs="仿宋_GB2312"/>
                <w:sz w:val="28"/>
                <w:szCs w:val="28"/>
              </w:rPr>
              <w:t>3</w:t>
            </w: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0E7D5B">
              <w:rPr>
                <w:rFonts w:ascii="仿宋_GB2312" w:eastAsia="仿宋_GB2312" w:hAnsi="Times New Roman" w:cs="仿宋_GB2312"/>
                <w:sz w:val="28"/>
                <w:szCs w:val="28"/>
              </w:rPr>
              <w:t>25%</w:t>
            </w: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。</w:t>
            </w:r>
          </w:p>
        </w:tc>
      </w:tr>
      <w:tr w:rsidR="00D41641" w:rsidRPr="000E7D5B" w:rsidTr="000847F6">
        <w:trPr>
          <w:trHeight w:val="870"/>
        </w:trPr>
        <w:tc>
          <w:tcPr>
            <w:tcW w:w="1809" w:type="dxa"/>
            <w:vMerge/>
            <w:shd w:val="clear" w:color="auto" w:fill="9FD3A4"/>
          </w:tcPr>
          <w:p w:rsidR="00D41641" w:rsidRPr="000847F6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1641" w:rsidRPr="000E7D5B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□</w:t>
            </w:r>
            <w:r w:rsidRPr="000E7D5B">
              <w:rPr>
                <w:rFonts w:ascii="仿宋_GB2312" w:eastAsia="仿宋_GB2312" w:hAnsi="Times New Roman" w:cs="仿宋_GB2312"/>
                <w:sz w:val="28"/>
                <w:szCs w:val="28"/>
              </w:rPr>
              <w:t>4</w:t>
            </w: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D41641" w:rsidRPr="000E7D5B" w:rsidTr="000847F6">
        <w:trPr>
          <w:trHeight w:val="264"/>
        </w:trPr>
        <w:tc>
          <w:tcPr>
            <w:tcW w:w="1809" w:type="dxa"/>
            <w:vMerge/>
            <w:shd w:val="clear" w:color="auto" w:fill="9FD3A4"/>
          </w:tcPr>
          <w:p w:rsidR="00D41641" w:rsidRPr="000847F6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1641" w:rsidRPr="000E7D5B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□</w:t>
            </w:r>
            <w:r w:rsidRPr="000E7D5B">
              <w:rPr>
                <w:rFonts w:ascii="仿宋_GB2312" w:eastAsia="仿宋_GB2312" w:hAnsi="Times New Roman" w:cs="仿宋_GB2312"/>
                <w:sz w:val="28"/>
                <w:szCs w:val="28"/>
              </w:rPr>
              <w:t>5</w:t>
            </w: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D41641" w:rsidRPr="000E7D5B" w:rsidTr="000847F6">
        <w:trPr>
          <w:trHeight w:val="345"/>
        </w:trPr>
        <w:tc>
          <w:tcPr>
            <w:tcW w:w="1809" w:type="dxa"/>
            <w:vMerge/>
            <w:shd w:val="clear" w:color="auto" w:fill="9FD3A4"/>
          </w:tcPr>
          <w:p w:rsidR="00D41641" w:rsidRPr="000847F6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1641" w:rsidRPr="000E7D5B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□</w:t>
            </w:r>
            <w:r w:rsidRPr="000E7D5B">
              <w:rPr>
                <w:rFonts w:ascii="仿宋_GB2312" w:eastAsia="仿宋_GB2312" w:hAnsi="Times New Roman" w:cs="仿宋_GB2312"/>
                <w:sz w:val="28"/>
                <w:szCs w:val="28"/>
              </w:rPr>
              <w:t>6</w:t>
            </w: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D41641" w:rsidRPr="000E7D5B" w:rsidTr="000847F6">
        <w:tc>
          <w:tcPr>
            <w:tcW w:w="1809" w:type="dxa"/>
          </w:tcPr>
          <w:p w:rsidR="00D41641" w:rsidRPr="000847F6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b/>
                <w:bCs/>
                <w:sz w:val="28"/>
                <w:szCs w:val="28"/>
              </w:rPr>
            </w:pPr>
            <w:r w:rsidRPr="000847F6">
              <w:rPr>
                <w:rFonts w:ascii="仿宋_GB2312" w:eastAsia="仿宋_GB2312" w:hAnsi="Times New Roman" w:cs="仿宋_GB2312" w:hint="eastAsia"/>
                <w:b/>
                <w:bCs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D41641" w:rsidRPr="000E7D5B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0E7D5B">
              <w:rPr>
                <w:rFonts w:ascii="仿宋_GB2312" w:eastAsia="仿宋_GB2312" w:hAnsi="Times New Roman" w:cs="仿宋_GB2312"/>
                <w:sz w:val="28"/>
                <w:szCs w:val="28"/>
              </w:rPr>
              <w:t>1</w:t>
            </w: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、商品房开发与销售市场（杭州市场）</w:t>
            </w:r>
          </w:p>
          <w:p w:rsidR="00D41641" w:rsidRPr="000E7D5B" w:rsidRDefault="00D41641" w:rsidP="000E7D5B">
            <w:pPr>
              <w:spacing w:line="500" w:lineRule="exact"/>
              <w:rPr>
                <w:rFonts w:ascii="仿宋_GB2312" w:eastAsia="仿宋_GB2312" w:hAnsi="Times New Roman" w:cs="仿宋_GB2312"/>
                <w:sz w:val="28"/>
                <w:szCs w:val="28"/>
              </w:rPr>
            </w:pP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广厦控股：</w:t>
            </w:r>
            <w:r w:rsidRPr="000E7D5B">
              <w:rPr>
                <w:rFonts w:ascii="仿宋_GB2312" w:eastAsia="仿宋_GB2312" w:hAnsi="Times New Roman" w:cs="仿宋_GB2312"/>
                <w:sz w:val="28"/>
                <w:szCs w:val="28"/>
              </w:rPr>
              <w:t xml:space="preserve">[0-5]%    </w:t>
            </w:r>
          </w:p>
          <w:p w:rsidR="00D41641" w:rsidRPr="000E7D5B" w:rsidRDefault="00D41641" w:rsidP="000E7D5B">
            <w:pPr>
              <w:spacing w:line="500" w:lineRule="exact"/>
              <w:rPr>
                <w:rFonts w:ascii="仿宋_GB2312" w:eastAsia="仿宋_GB2312" w:hAnsi="Times New Roman" w:cs="仿宋_GB2312"/>
                <w:sz w:val="28"/>
                <w:szCs w:val="28"/>
              </w:rPr>
            </w:pP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天都实业：</w:t>
            </w:r>
            <w:r w:rsidRPr="000E7D5B">
              <w:rPr>
                <w:rFonts w:ascii="仿宋_GB2312" w:eastAsia="仿宋_GB2312" w:hAnsi="Times New Roman" w:cs="仿宋_GB2312"/>
                <w:sz w:val="28"/>
                <w:szCs w:val="28"/>
              </w:rPr>
              <w:t xml:space="preserve">[0-5]%    </w:t>
            </w:r>
          </w:p>
          <w:p w:rsidR="00D41641" w:rsidRPr="000E7D5B" w:rsidRDefault="00D41641" w:rsidP="000E7D5B">
            <w:pPr>
              <w:spacing w:line="500" w:lineRule="exact"/>
              <w:rPr>
                <w:rFonts w:ascii="仿宋_GB2312" w:eastAsia="仿宋_GB2312" w:hAnsi="Times New Roman" w:cs="仿宋_GB2312"/>
                <w:sz w:val="28"/>
                <w:szCs w:val="28"/>
              </w:rPr>
            </w:pPr>
          </w:p>
          <w:p w:rsidR="00D41641" w:rsidRPr="000E7D5B" w:rsidRDefault="00D41641" w:rsidP="000E7D5B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0E7D5B">
              <w:rPr>
                <w:rFonts w:ascii="仿宋_GB2312" w:eastAsia="仿宋_GB2312" w:hAnsi="Times New Roman" w:cs="仿宋_GB2312"/>
                <w:sz w:val="28"/>
                <w:szCs w:val="28"/>
              </w:rPr>
              <w:t>2</w:t>
            </w: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、房屋建筑工程施工服务（中国市场）</w:t>
            </w:r>
          </w:p>
          <w:p w:rsidR="00D41641" w:rsidRPr="000E7D5B" w:rsidRDefault="00D41641" w:rsidP="000E7D5B">
            <w:pPr>
              <w:spacing w:line="500" w:lineRule="exact"/>
              <w:rPr>
                <w:rFonts w:ascii="仿宋_GB2312" w:eastAsia="仿宋_GB2312" w:hAnsi="Times New Roman" w:cs="仿宋_GB2312"/>
                <w:sz w:val="28"/>
                <w:szCs w:val="28"/>
              </w:rPr>
            </w:pP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广厦控股：</w:t>
            </w:r>
            <w:r w:rsidRPr="000E7D5B">
              <w:rPr>
                <w:rFonts w:ascii="仿宋_GB2312" w:eastAsia="仿宋_GB2312" w:hAnsi="Times New Roman" w:cs="仿宋_GB2312"/>
                <w:sz w:val="28"/>
                <w:szCs w:val="28"/>
              </w:rPr>
              <w:t xml:space="preserve">[0-5]%    </w:t>
            </w:r>
          </w:p>
          <w:p w:rsidR="00D41641" w:rsidRPr="000E7D5B" w:rsidRDefault="00D41641" w:rsidP="000E7D5B">
            <w:pPr>
              <w:spacing w:line="500" w:lineRule="exact"/>
              <w:rPr>
                <w:rFonts w:ascii="仿宋_GB2312" w:eastAsia="仿宋_GB2312" w:hAnsi="Times New Roman" w:cs="仿宋_GB2312"/>
                <w:sz w:val="28"/>
                <w:szCs w:val="28"/>
              </w:rPr>
            </w:pPr>
            <w:r w:rsidRPr="000E7D5B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天都实业：</w:t>
            </w:r>
            <w:r w:rsidRPr="000E7D5B">
              <w:rPr>
                <w:rFonts w:ascii="仿宋_GB2312" w:eastAsia="仿宋_GB2312" w:hAnsi="Times New Roman" w:cs="仿宋_GB2312"/>
                <w:sz w:val="28"/>
                <w:szCs w:val="28"/>
              </w:rPr>
              <w:t>0%</w:t>
            </w:r>
          </w:p>
        </w:tc>
      </w:tr>
    </w:tbl>
    <w:p w:rsidR="00D41641" w:rsidRDefault="00D41641" w:rsidP="00C912A8">
      <w:pPr>
        <w:spacing w:line="500" w:lineRule="exact"/>
        <w:rPr>
          <w:rFonts w:ascii="仿宋_GB2312" w:eastAsia="仿宋_GB2312" w:hAnsi="Times New Roman" w:cs="Times New Roman"/>
          <w:sz w:val="28"/>
          <w:szCs w:val="28"/>
        </w:rPr>
      </w:pPr>
    </w:p>
    <w:p w:rsidR="00D41641" w:rsidRDefault="00D41641" w:rsidP="00967CD4">
      <w:pPr>
        <w:snapToGrid w:val="0"/>
        <w:spacing w:line="240" w:lineRule="exact"/>
        <w:jc w:val="left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注解：</w:t>
      </w:r>
    </w:p>
    <w:p w:rsidR="00D41641" w:rsidRDefault="00D41641" w:rsidP="000847F6">
      <w:pPr>
        <w:snapToGrid w:val="0"/>
        <w:spacing w:line="360" w:lineRule="auto"/>
        <w:ind w:firstLineChars="200" w:firstLine="31680"/>
        <w:jc w:val="left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、申报方申请简易案件的理由是基于</w:t>
      </w:r>
      <w:r>
        <w:rPr>
          <w:rFonts w:ascii="宋体" w:hAnsi="宋体" w:cs="宋体"/>
          <w:sz w:val="24"/>
          <w:szCs w:val="24"/>
        </w:rPr>
        <w:t>1-3</w:t>
      </w:r>
      <w:r>
        <w:rPr>
          <w:rFonts w:ascii="宋体" w:hAnsi="宋体" w:cs="宋体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>
        <w:rPr>
          <w:rFonts w:ascii="宋体" w:hAnsi="宋体" w:cs="宋体"/>
          <w:sz w:val="24"/>
          <w:szCs w:val="24"/>
        </w:rPr>
        <w:t>5%</w:t>
      </w:r>
      <w:r>
        <w:rPr>
          <w:rFonts w:ascii="宋体" w:hAnsi="宋体" w:cs="宋体" w:hint="eastAsia"/>
          <w:sz w:val="24"/>
          <w:szCs w:val="24"/>
        </w:rPr>
        <w:t>。</w:t>
      </w:r>
      <w:r>
        <w:rPr>
          <w:rFonts w:ascii="宋体" w:hAnsi="宋体" w:cs="宋体"/>
          <w:sz w:val="24"/>
          <w:szCs w:val="24"/>
        </w:rPr>
        <w:t>1-3</w:t>
      </w:r>
      <w:r>
        <w:rPr>
          <w:rFonts w:ascii="宋体" w:hAnsi="宋体" w:cs="宋体" w:hint="eastAsia"/>
          <w:sz w:val="24"/>
          <w:szCs w:val="24"/>
        </w:rPr>
        <w:t>项可以多选，也可单选；没有勾选的，视为本集中不涉及该类型交易。</w:t>
      </w:r>
    </w:p>
    <w:p w:rsidR="00D41641" w:rsidRDefault="00D41641" w:rsidP="000847F6">
      <w:pPr>
        <w:spacing w:line="360" w:lineRule="auto"/>
        <w:ind w:firstLineChars="200" w:firstLine="31680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、申报方申请简易案件的理由是基于第</w:t>
      </w:r>
      <w:r>
        <w:rPr>
          <w:rFonts w:ascii="宋体" w:hAnsi="宋体" w:cs="宋体"/>
          <w:sz w:val="24"/>
          <w:szCs w:val="24"/>
        </w:rPr>
        <w:t>4</w:t>
      </w:r>
      <w:r>
        <w:rPr>
          <w:rFonts w:ascii="宋体" w:hAnsi="宋体" w:cs="宋体" w:hint="eastAsia"/>
          <w:sz w:val="24"/>
          <w:szCs w:val="24"/>
        </w:rPr>
        <w:t>项、第</w:t>
      </w:r>
      <w:r>
        <w:rPr>
          <w:rFonts w:ascii="宋体" w:hAnsi="宋体" w:cs="宋体"/>
          <w:sz w:val="24"/>
          <w:szCs w:val="24"/>
        </w:rPr>
        <w:t>5</w:t>
      </w:r>
      <w:r>
        <w:rPr>
          <w:rFonts w:ascii="宋体" w:hAnsi="宋体" w:cs="宋体" w:hint="eastAsia"/>
          <w:sz w:val="24"/>
          <w:szCs w:val="24"/>
        </w:rPr>
        <w:t>项时，无须在备注中说明相关市场和市场份额。</w:t>
      </w:r>
    </w:p>
    <w:p w:rsidR="00D41641" w:rsidRDefault="00D41641" w:rsidP="000847F6">
      <w:pPr>
        <w:spacing w:line="360" w:lineRule="auto"/>
        <w:ind w:firstLineChars="200" w:firstLine="31680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项和第</w:t>
      </w:r>
      <w:r>
        <w:rPr>
          <w:rFonts w:ascii="宋体" w:hAnsi="宋体" w:cs="宋体"/>
          <w:sz w:val="24"/>
          <w:szCs w:val="24"/>
        </w:rPr>
        <w:t>6</w:t>
      </w:r>
      <w:r>
        <w:rPr>
          <w:rFonts w:ascii="宋体" w:hAnsi="宋体" w:cs="宋体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>
        <w:rPr>
          <w:rFonts w:ascii="宋体" w:hAnsi="宋体" w:cs="宋体"/>
          <w:sz w:val="24"/>
          <w:szCs w:val="24"/>
        </w:rPr>
        <w:t>5%</w:t>
      </w:r>
      <w:r>
        <w:rPr>
          <w:rFonts w:ascii="宋体" w:hAnsi="宋体" w:cs="宋体" w:hint="eastAsia"/>
          <w:sz w:val="24"/>
          <w:szCs w:val="24"/>
        </w:rPr>
        <w:t>。</w:t>
      </w:r>
    </w:p>
    <w:p w:rsidR="00D41641" w:rsidRPr="00202C4C" w:rsidRDefault="00D41641" w:rsidP="00C912A8">
      <w:pPr>
        <w:spacing w:line="500" w:lineRule="exact"/>
        <w:rPr>
          <w:rFonts w:ascii="仿宋_GB2312" w:eastAsia="仿宋_GB2312" w:hAnsi="Times New Roman" w:cs="Times New Roman"/>
          <w:sz w:val="28"/>
          <w:szCs w:val="28"/>
        </w:rPr>
      </w:pPr>
    </w:p>
    <w:sectPr w:rsidR="00D41641" w:rsidRPr="00202C4C" w:rsidSect="00CC1F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1641" w:rsidRDefault="00D41641" w:rsidP="00094095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1">
    <w:p w:rsidR="00D41641" w:rsidRDefault="00D41641" w:rsidP="00094095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1641" w:rsidRDefault="00D41641" w:rsidP="00094095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1">
    <w:p w:rsidR="00D41641" w:rsidRDefault="00D41641" w:rsidP="00094095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3B2C64"/>
    <w:multiLevelType w:val="hybridMultilevel"/>
    <w:tmpl w:val="A05ED496"/>
    <w:lvl w:ilvl="0" w:tplc="C25A89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69F7B22"/>
    <w:multiLevelType w:val="hybridMultilevel"/>
    <w:tmpl w:val="C410330E"/>
    <w:lvl w:ilvl="0" w:tplc="A320A13A">
      <w:start w:val="1"/>
      <w:numFmt w:val="decimal"/>
      <w:lvlText w:val="%1、"/>
      <w:lvlJc w:val="left"/>
      <w:pPr>
        <w:ind w:left="720" w:hanging="720"/>
      </w:pPr>
      <w:rPr>
        <w:rFonts w:ascii="仿宋_GB2312" w:eastAsia="仿宋_GB2312" w:hAnsi="Times New Roman" w:hint="default"/>
        <w:sz w:val="28"/>
        <w:szCs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94095"/>
    <w:rsid w:val="000407D2"/>
    <w:rsid w:val="000847F6"/>
    <w:rsid w:val="00094095"/>
    <w:rsid w:val="000E7D5B"/>
    <w:rsid w:val="000F000F"/>
    <w:rsid w:val="00196729"/>
    <w:rsid w:val="00202C4C"/>
    <w:rsid w:val="002B2F94"/>
    <w:rsid w:val="00317C02"/>
    <w:rsid w:val="00362BB0"/>
    <w:rsid w:val="0036493A"/>
    <w:rsid w:val="003A2FB3"/>
    <w:rsid w:val="00450F2A"/>
    <w:rsid w:val="00462174"/>
    <w:rsid w:val="004D32B8"/>
    <w:rsid w:val="005013A8"/>
    <w:rsid w:val="00535239"/>
    <w:rsid w:val="00537908"/>
    <w:rsid w:val="00677687"/>
    <w:rsid w:val="00794E34"/>
    <w:rsid w:val="007F62AA"/>
    <w:rsid w:val="00805DE4"/>
    <w:rsid w:val="00856DF4"/>
    <w:rsid w:val="008647BF"/>
    <w:rsid w:val="0086491E"/>
    <w:rsid w:val="008E7B8C"/>
    <w:rsid w:val="00932473"/>
    <w:rsid w:val="00947603"/>
    <w:rsid w:val="00967CD4"/>
    <w:rsid w:val="009D51A4"/>
    <w:rsid w:val="00A32AC1"/>
    <w:rsid w:val="00A93430"/>
    <w:rsid w:val="00AB48A2"/>
    <w:rsid w:val="00BA1596"/>
    <w:rsid w:val="00BB2582"/>
    <w:rsid w:val="00C236EC"/>
    <w:rsid w:val="00C47AB8"/>
    <w:rsid w:val="00C815E8"/>
    <w:rsid w:val="00C816B7"/>
    <w:rsid w:val="00C912A8"/>
    <w:rsid w:val="00CC1F71"/>
    <w:rsid w:val="00D41641"/>
    <w:rsid w:val="00DA377B"/>
    <w:rsid w:val="00DB6784"/>
    <w:rsid w:val="00DC5869"/>
    <w:rsid w:val="00E05574"/>
    <w:rsid w:val="00F02612"/>
    <w:rsid w:val="00F02FE4"/>
    <w:rsid w:val="00F50688"/>
    <w:rsid w:val="00F87C1F"/>
    <w:rsid w:val="00F941FA"/>
    <w:rsid w:val="00FE3C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095"/>
    <w:pPr>
      <w:widowControl w:val="0"/>
      <w:jc w:val="both"/>
    </w:pPr>
    <w:rPr>
      <w:rFonts w:cs="Calibri"/>
      <w:szCs w:val="21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094095"/>
    <w:rPr>
      <w:rFonts w:cs="Calibr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094095"/>
  </w:style>
  <w:style w:type="character" w:styleId="EndnoteReference">
    <w:name w:val="endnote reference"/>
    <w:basedOn w:val="DefaultParagraphFont"/>
    <w:uiPriority w:val="99"/>
    <w:semiHidden/>
    <w:rsid w:val="00094095"/>
    <w:rPr>
      <w:vertAlign w:val="superscript"/>
    </w:rPr>
  </w:style>
  <w:style w:type="paragraph" w:styleId="ListParagraph">
    <w:name w:val="List Paragraph"/>
    <w:basedOn w:val="Normal"/>
    <w:uiPriority w:val="99"/>
    <w:qFormat/>
    <w:rsid w:val="00794E34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rsid w:val="00362B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locked/>
    <w:rsid w:val="00362BB0"/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362B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locked/>
    <w:rsid w:val="00362BB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802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2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2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33</TotalTime>
  <Pages>2</Pages>
  <Words>161</Words>
  <Characters>918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User</cp:lastModifiedBy>
  <cp:revision>35</cp:revision>
  <cp:lastPrinted>2018-06-29T05:17:00Z</cp:lastPrinted>
  <dcterms:created xsi:type="dcterms:W3CDTF">2014-03-26T01:01:00Z</dcterms:created>
  <dcterms:modified xsi:type="dcterms:W3CDTF">2018-06-29T05:26:00Z</dcterms:modified>
</cp:coreProperties>
</file>