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rPr>
          <w:rFonts w:asciiTheme="minorEastAsia" w:hAnsiTheme="minorEastAsia" w:eastAsiaTheme="minorEastAsia"/>
          <w:sz w:val="28"/>
          <w:szCs w:val="28"/>
        </w:rPr>
      </w:pPr>
      <w:r>
        <w:rPr>
          <w:rFonts w:hint="eastAsia" w:asciiTheme="minorEastAsia" w:hAnsiTheme="minorEastAsia" w:eastAsiaTheme="minorEastAsia"/>
          <w:sz w:val="28"/>
          <w:szCs w:val="28"/>
        </w:rPr>
        <w:t>附件二、</w:t>
      </w: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tbl>
      <w:tblPr>
        <w:tblStyle w:val="11"/>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eastAsiaTheme="minorEastAsia"/>
                <w:sz w:val="24"/>
                <w:szCs w:val="24"/>
              </w:rPr>
            </w:pPr>
            <w:r>
              <w:rPr>
                <w:rFonts w:ascii="Times New Roman" w:hAnsiTheme="minorEastAsia" w:eastAsiaTheme="minorEastAsia"/>
                <w:sz w:val="24"/>
                <w:szCs w:val="24"/>
              </w:rPr>
              <w:t>案件名称</w:t>
            </w:r>
          </w:p>
        </w:tc>
        <w:tc>
          <w:tcPr>
            <w:tcW w:w="6949" w:type="dxa"/>
            <w:gridSpan w:val="2"/>
          </w:tcPr>
          <w:p>
            <w:pPr>
              <w:spacing w:line="500" w:lineRule="exact"/>
              <w:rPr>
                <w:rFonts w:ascii="Times New Roman" w:hAnsi="Times New Roman" w:eastAsiaTheme="minorEastAsia"/>
                <w:sz w:val="24"/>
                <w:szCs w:val="24"/>
              </w:rPr>
            </w:pPr>
            <w:r>
              <w:rPr>
                <w:rFonts w:hint="eastAsia" w:ascii="Times New Roman" w:hAnsiTheme="minorEastAsia" w:eastAsiaTheme="minorEastAsia"/>
                <w:sz w:val="24"/>
                <w:szCs w:val="24"/>
              </w:rPr>
              <w:t>肖特股份有限公司与浙江水晶光电科技股份有限公司等经营者新设合营企业案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tcPr>
          <w:p>
            <w:pPr>
              <w:spacing w:line="500" w:lineRule="exact"/>
              <w:rPr>
                <w:rFonts w:ascii="Times New Roman" w:hAnsi="Times New Roman" w:eastAsiaTheme="minorEastAsia"/>
                <w:sz w:val="24"/>
                <w:szCs w:val="24"/>
              </w:rPr>
            </w:pPr>
            <w:r>
              <w:rPr>
                <w:rFonts w:ascii="Times New Roman" w:hAnsiTheme="minorEastAsia" w:eastAsiaTheme="minorEastAsia"/>
                <w:sz w:val="24"/>
                <w:szCs w:val="24"/>
              </w:rPr>
              <w:t>交易概况（限</w:t>
            </w:r>
            <w:r>
              <w:rPr>
                <w:rFonts w:ascii="Times New Roman" w:hAnsi="Times New Roman" w:eastAsiaTheme="minorEastAsia"/>
                <w:sz w:val="24"/>
                <w:szCs w:val="24"/>
              </w:rPr>
              <w:t>200</w:t>
            </w:r>
            <w:r>
              <w:rPr>
                <w:rFonts w:ascii="Times New Roman" w:hAnsiTheme="minorEastAsia" w:eastAsiaTheme="minorEastAsia"/>
                <w:sz w:val="24"/>
                <w:szCs w:val="24"/>
              </w:rPr>
              <w:t>字内）</w:t>
            </w:r>
          </w:p>
        </w:tc>
        <w:tc>
          <w:tcPr>
            <w:tcW w:w="6949" w:type="dxa"/>
            <w:gridSpan w:val="2"/>
          </w:tcPr>
          <w:p>
            <w:pPr>
              <w:spacing w:line="500" w:lineRule="exact"/>
              <w:rPr>
                <w:rFonts w:ascii="Times New Roman" w:hAnsi="Times New Roman" w:eastAsiaTheme="minorEastAsia"/>
                <w:sz w:val="24"/>
                <w:szCs w:val="24"/>
              </w:rPr>
            </w:pPr>
            <w:r>
              <w:rPr>
                <w:rFonts w:hint="eastAsia" w:ascii="Times New Roman" w:hAnsiTheme="minorEastAsia" w:eastAsiaTheme="minorEastAsia"/>
                <w:sz w:val="24"/>
                <w:szCs w:val="24"/>
              </w:rPr>
              <w:t>肖特股份有限公司（“SCHOTT AG”）、浙江水晶光电科技股份有限公司（“水晶光电”）以及浙江台佳电子信息科技有限公司（“台佳电子”）共同投资设立一家中外合资经营企业，即浙江晶特光学科技有限公司（“合资公司”），交易完成后，各方在合资公司中的持股比例分别为41%，34%以及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tcPr>
          <w:p>
            <w:pPr>
              <w:spacing w:line="500" w:lineRule="exact"/>
              <w:rPr>
                <w:rFonts w:ascii="Times New Roman" w:hAnsi="Times New Roman" w:eastAsiaTheme="minorEastAsia"/>
                <w:sz w:val="24"/>
                <w:szCs w:val="24"/>
              </w:rPr>
            </w:pPr>
            <w:r>
              <w:rPr>
                <w:rFonts w:ascii="Times New Roman" w:hAnsiTheme="minorEastAsia" w:eastAsiaTheme="minorEastAsia"/>
                <w:sz w:val="24"/>
                <w:szCs w:val="24"/>
              </w:rPr>
              <w:t>参与集中的经营者简介</w:t>
            </w:r>
          </w:p>
        </w:tc>
        <w:tc>
          <w:tcPr>
            <w:tcW w:w="1796" w:type="dxa"/>
          </w:tcPr>
          <w:p>
            <w:pPr>
              <w:spacing w:line="500" w:lineRule="exact"/>
              <w:rPr>
                <w:rFonts w:ascii="Times New Roman" w:hAnsi="Times New Roman" w:eastAsiaTheme="minorEastAsia"/>
                <w:sz w:val="24"/>
                <w:szCs w:val="24"/>
              </w:rPr>
            </w:pPr>
            <w:r>
              <w:rPr>
                <w:rFonts w:ascii="Times New Roman" w:hAnsi="Times New Roman" w:eastAsiaTheme="minorEastAsia"/>
                <w:sz w:val="24"/>
                <w:szCs w:val="24"/>
              </w:rPr>
              <w:t>1</w:t>
            </w:r>
            <w:r>
              <w:rPr>
                <w:rFonts w:ascii="Times New Roman" w:hAnsiTheme="minorEastAsia" w:eastAsiaTheme="minorEastAsia"/>
                <w:sz w:val="24"/>
                <w:szCs w:val="24"/>
              </w:rPr>
              <w:t>、</w:t>
            </w:r>
            <w:r>
              <w:rPr>
                <w:rFonts w:ascii="Times New Roman" w:hAnsiTheme="minorEastAsia" w:eastAsiaTheme="minorEastAsia"/>
                <w:b/>
                <w:sz w:val="24"/>
                <w:szCs w:val="24"/>
              </w:rPr>
              <w:t>SCHOTT AG</w:t>
            </w:r>
          </w:p>
        </w:tc>
        <w:tc>
          <w:tcPr>
            <w:tcW w:w="5153" w:type="dxa"/>
          </w:tcPr>
          <w:p>
            <w:pPr>
              <w:spacing w:line="500" w:lineRule="exact"/>
              <w:rPr>
                <w:rFonts w:ascii="Times New Roman" w:hAnsi="Times New Roman" w:eastAsiaTheme="minorEastAsia"/>
                <w:sz w:val="24"/>
                <w:szCs w:val="24"/>
              </w:rPr>
            </w:pPr>
            <w:r>
              <w:rPr>
                <w:rFonts w:hint="eastAsia" w:ascii="Times New Roman" w:hAnsiTheme="minorEastAsia" w:eastAsiaTheme="minorEastAsia"/>
                <w:sz w:val="24"/>
                <w:szCs w:val="24"/>
              </w:rPr>
              <w:t>SCHOTT AG是一家在特种玻璃和微晶玻璃行业知名的跨国高科技公司，总部设于德国美因茨，由卡尔•蔡司基金会全资拥有。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11" w:hRule="atLeast"/>
        </w:trPr>
        <w:tc>
          <w:tcPr>
            <w:tcW w:w="1809" w:type="dxa"/>
            <w:vMerge w:val="continue"/>
            <w:shd w:val="clear" w:color="auto" w:fill="D9D9D9"/>
          </w:tcPr>
          <w:p>
            <w:pPr>
              <w:spacing w:line="500" w:lineRule="exact"/>
              <w:rPr>
                <w:rFonts w:ascii="Times New Roman" w:hAnsi="Times New Roman" w:eastAsiaTheme="minorEastAsia"/>
                <w:sz w:val="24"/>
                <w:szCs w:val="24"/>
              </w:rPr>
            </w:pPr>
          </w:p>
        </w:tc>
        <w:tc>
          <w:tcPr>
            <w:tcW w:w="1796" w:type="dxa"/>
          </w:tcPr>
          <w:p>
            <w:pPr>
              <w:spacing w:line="500" w:lineRule="exact"/>
              <w:rPr>
                <w:rFonts w:ascii="Times New Roman" w:hAnsi="Times New Roman" w:eastAsiaTheme="minorEastAsia"/>
                <w:sz w:val="24"/>
                <w:szCs w:val="24"/>
              </w:rPr>
            </w:pPr>
            <w:r>
              <w:rPr>
                <w:rFonts w:ascii="Times New Roman" w:hAnsi="Times New Roman" w:eastAsiaTheme="minorEastAsia"/>
                <w:sz w:val="24"/>
                <w:szCs w:val="24"/>
              </w:rPr>
              <w:t>2</w:t>
            </w:r>
            <w:r>
              <w:rPr>
                <w:rFonts w:ascii="Times New Roman" w:hAnsiTheme="minorEastAsia" w:eastAsiaTheme="minorEastAsia"/>
                <w:sz w:val="24"/>
                <w:szCs w:val="24"/>
              </w:rPr>
              <w:t>、</w:t>
            </w:r>
            <w:r>
              <w:rPr>
                <w:rFonts w:hint="eastAsia" w:ascii="Times New Roman" w:hAnsiTheme="minorEastAsia" w:eastAsiaTheme="minorEastAsia"/>
                <w:b/>
                <w:sz w:val="24"/>
                <w:szCs w:val="24"/>
              </w:rPr>
              <w:t>水晶光电</w:t>
            </w:r>
          </w:p>
        </w:tc>
        <w:tc>
          <w:tcPr>
            <w:tcW w:w="5153" w:type="dxa"/>
          </w:tcPr>
          <w:p>
            <w:pPr>
              <w:spacing w:line="500" w:lineRule="exact"/>
              <w:rPr>
                <w:rFonts w:ascii="Times New Roman" w:hAnsi="Times New Roman" w:eastAsiaTheme="minorEastAsia"/>
                <w:sz w:val="24"/>
                <w:szCs w:val="24"/>
              </w:rPr>
            </w:pPr>
            <w:r>
              <w:rPr>
                <w:rFonts w:hint="eastAsia" w:ascii="Times New Roman" w:hAnsiTheme="minorEastAsia" w:eastAsiaTheme="minorEastAsia"/>
                <w:sz w:val="24"/>
                <w:szCs w:val="24"/>
              </w:rPr>
              <w:t>水晶光电是</w:t>
            </w:r>
            <w:r>
              <w:rPr>
                <w:rFonts w:ascii="Times New Roman" w:hAnsiTheme="minorEastAsia" w:eastAsiaTheme="minorEastAsia"/>
                <w:sz w:val="24"/>
                <w:szCs w:val="24"/>
              </w:rPr>
              <w:t>一家注册于中国</w:t>
            </w:r>
            <w:r>
              <w:rPr>
                <w:rFonts w:hint="eastAsia" w:ascii="Times New Roman" w:hAnsiTheme="minorEastAsia" w:eastAsiaTheme="minorEastAsia"/>
                <w:sz w:val="24"/>
                <w:szCs w:val="24"/>
              </w:rPr>
              <w:t>浙江省台州市</w:t>
            </w:r>
            <w:r>
              <w:rPr>
                <w:rFonts w:ascii="Times New Roman" w:hAnsiTheme="minorEastAsia" w:eastAsiaTheme="minorEastAsia"/>
                <w:sz w:val="24"/>
                <w:szCs w:val="24"/>
              </w:rPr>
              <w:t>的</w:t>
            </w:r>
            <w:r>
              <w:rPr>
                <w:rFonts w:hint="eastAsia" w:ascii="Times New Roman" w:hAnsiTheme="minorEastAsia" w:eastAsiaTheme="minorEastAsia"/>
                <w:sz w:val="24"/>
                <w:szCs w:val="24"/>
              </w:rPr>
              <w:t>上市</w:t>
            </w:r>
            <w:r>
              <w:rPr>
                <w:rFonts w:ascii="Times New Roman" w:hAnsiTheme="minorEastAsia" w:eastAsiaTheme="minorEastAsia"/>
                <w:sz w:val="24"/>
                <w:szCs w:val="24"/>
              </w:rPr>
              <w:t>公司，</w:t>
            </w:r>
            <w:r>
              <w:rPr>
                <w:rFonts w:hint="eastAsia" w:ascii="Times New Roman" w:hAnsiTheme="minorEastAsia" w:eastAsiaTheme="minorEastAsia"/>
                <w:sz w:val="24"/>
                <w:szCs w:val="24"/>
              </w:rPr>
              <w:t>是数码产业及手机通讯产业企业的配套供应商，主要从事光电子元器件、光元器件的制造、加工。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Times New Roman" w:hAnsi="Times New Roman" w:eastAsiaTheme="minorEastAsia"/>
                <w:sz w:val="24"/>
                <w:szCs w:val="24"/>
              </w:rPr>
            </w:pPr>
            <w:r>
              <w:rPr>
                <w:rFonts w:ascii="Times New Roman" w:hAnsiTheme="minorEastAsia" w:eastAsiaTheme="minorEastAsia"/>
                <w:sz w:val="24"/>
                <w:szCs w:val="24"/>
              </w:rPr>
              <w:t>简易案件理由（可以单选，也可以多选）</w:t>
            </w:r>
          </w:p>
        </w:tc>
        <w:tc>
          <w:tcPr>
            <w:tcW w:w="6949" w:type="dxa"/>
            <w:gridSpan w:val="2"/>
          </w:tcPr>
          <w:p>
            <w:pPr>
              <w:spacing w:line="500" w:lineRule="exact"/>
              <w:rPr>
                <w:rFonts w:ascii="Times New Roman" w:hAnsi="Times New Roman" w:eastAsiaTheme="minorEastAsia"/>
                <w:sz w:val="24"/>
                <w:szCs w:val="24"/>
              </w:rPr>
            </w:pPr>
            <w:r>
              <w:rPr>
                <w:rFonts w:ascii="Times New Roman" w:hAnsi="Times New Roman" w:eastAsiaTheme="minorEastAsia"/>
                <w:sz w:val="24"/>
                <w:szCs w:val="24"/>
              </w:rPr>
              <w:sym w:font="Wingdings" w:char="F0FE"/>
            </w:r>
            <w:r>
              <w:rPr>
                <w:rFonts w:ascii="Times New Roman" w:hAnsi="Times New Roman" w:eastAsiaTheme="minorEastAsia"/>
                <w:sz w:val="24"/>
                <w:szCs w:val="24"/>
              </w:rPr>
              <w:t>1</w:t>
            </w:r>
            <w:r>
              <w:rPr>
                <w:rFonts w:ascii="Times New Roman" w:hAnsiTheme="minorEastAsia" w:eastAsiaTheme="minorEastAsia"/>
                <w:sz w:val="24"/>
                <w:szCs w:val="24"/>
              </w:rPr>
              <w:t>、在同一相关市场，所有参与集中的经营者所占市场份额之和小于</w:t>
            </w:r>
            <w:r>
              <w:rPr>
                <w:rFonts w:ascii="Times New Roman" w:hAnsi="Times New Roman" w:eastAsiaTheme="minorEastAsia"/>
                <w:sz w:val="24"/>
                <w:szCs w:val="24"/>
              </w:rPr>
              <w:t>15%</w:t>
            </w:r>
            <w:r>
              <w:rPr>
                <w:rFonts w:ascii="Times New Roman" w:hAnsiTheme="minorEastAsia" w:eastAsiaTheme="minor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Times New Roman" w:hAnsi="Times New Roman" w:eastAsiaTheme="minorEastAsia"/>
                <w:sz w:val="24"/>
                <w:szCs w:val="24"/>
              </w:rPr>
            </w:pPr>
          </w:p>
        </w:tc>
        <w:tc>
          <w:tcPr>
            <w:tcW w:w="6949" w:type="dxa"/>
            <w:gridSpan w:val="2"/>
          </w:tcPr>
          <w:p>
            <w:pPr>
              <w:spacing w:line="500" w:lineRule="exact"/>
              <w:rPr>
                <w:rFonts w:ascii="Times New Roman" w:hAnsi="Times New Roman" w:eastAsiaTheme="minorEastAsia"/>
                <w:sz w:val="24"/>
                <w:szCs w:val="24"/>
              </w:rPr>
            </w:pPr>
            <w:r>
              <w:rPr>
                <w:rFonts w:ascii="Times New Roman" w:hAnsi="Times New Roman" w:eastAsiaTheme="minorEastAsia"/>
                <w:sz w:val="24"/>
                <w:szCs w:val="24"/>
              </w:rPr>
              <w:sym w:font="Wingdings" w:char="F0FE"/>
            </w:r>
            <w:r>
              <w:rPr>
                <w:rFonts w:ascii="Times New Roman" w:hAnsi="Times New Roman" w:eastAsiaTheme="minorEastAsia"/>
                <w:sz w:val="24"/>
                <w:szCs w:val="24"/>
              </w:rPr>
              <w:t>2</w:t>
            </w:r>
            <w:r>
              <w:rPr>
                <w:rFonts w:ascii="Times New Roman" w:hAnsiTheme="minorEastAsia" w:eastAsiaTheme="minorEastAsia"/>
                <w:sz w:val="24"/>
                <w:szCs w:val="24"/>
              </w:rPr>
              <w:t>、存在上下游关系的参与集中的经营者，在上下游市场所占的市场份额均小于</w:t>
            </w:r>
            <w:r>
              <w:rPr>
                <w:rFonts w:ascii="Times New Roman" w:hAnsi="Times New Roman" w:eastAsiaTheme="minorEastAsia"/>
                <w:sz w:val="24"/>
                <w:szCs w:val="24"/>
              </w:rPr>
              <w:t>25%</w:t>
            </w:r>
            <w:r>
              <w:rPr>
                <w:rFonts w:ascii="Times New Roman" w:hAnsiTheme="minorEastAsia" w:eastAsiaTheme="minor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Times New Roman" w:hAnsi="Times New Roman" w:eastAsiaTheme="minorEastAsia"/>
                <w:sz w:val="24"/>
                <w:szCs w:val="24"/>
              </w:rPr>
            </w:pPr>
          </w:p>
        </w:tc>
        <w:tc>
          <w:tcPr>
            <w:tcW w:w="6949" w:type="dxa"/>
            <w:gridSpan w:val="2"/>
          </w:tcPr>
          <w:p>
            <w:pPr>
              <w:spacing w:line="500" w:lineRule="exact"/>
              <w:rPr>
                <w:rFonts w:ascii="Times New Roman" w:hAnsi="Times New Roman" w:eastAsiaTheme="minorEastAsia"/>
                <w:sz w:val="24"/>
                <w:szCs w:val="24"/>
              </w:rPr>
            </w:pPr>
            <w:r>
              <w:rPr>
                <w:rFonts w:ascii="Times New Roman" w:hAnsi="Times New Roman" w:eastAsiaTheme="minorEastAsia"/>
                <w:sz w:val="24"/>
                <w:szCs w:val="24"/>
              </w:rPr>
              <w:t>□3</w:t>
            </w:r>
            <w:r>
              <w:rPr>
                <w:rFonts w:ascii="Times New Roman" w:hAnsiTheme="minorEastAsia" w:eastAsiaTheme="minorEastAsia"/>
                <w:sz w:val="24"/>
                <w:szCs w:val="24"/>
              </w:rPr>
              <w:t>、不在同一相关市场、也不存在上下游关系的参与集中的经营者，在与交易有关的每个市场所占的份额均小于</w:t>
            </w:r>
            <w:r>
              <w:rPr>
                <w:rFonts w:ascii="Times New Roman" w:hAnsi="Times New Roman" w:eastAsiaTheme="minorEastAsia"/>
                <w:sz w:val="24"/>
                <w:szCs w:val="24"/>
              </w:rPr>
              <w:t>25%</w:t>
            </w:r>
            <w:r>
              <w:rPr>
                <w:rFonts w:ascii="Times New Roman" w:hAnsiTheme="minorEastAsia" w:eastAsiaTheme="minor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Times New Roman" w:hAnsi="Times New Roman" w:eastAsiaTheme="minorEastAsia"/>
                <w:sz w:val="24"/>
                <w:szCs w:val="24"/>
              </w:rPr>
            </w:pPr>
          </w:p>
        </w:tc>
        <w:tc>
          <w:tcPr>
            <w:tcW w:w="6949" w:type="dxa"/>
            <w:gridSpan w:val="2"/>
          </w:tcPr>
          <w:p>
            <w:pPr>
              <w:spacing w:line="500" w:lineRule="exact"/>
              <w:rPr>
                <w:rFonts w:ascii="Times New Roman" w:hAnsi="Times New Roman" w:eastAsiaTheme="minorEastAsia"/>
                <w:sz w:val="24"/>
                <w:szCs w:val="24"/>
              </w:rPr>
            </w:pPr>
            <w:r>
              <w:rPr>
                <w:rFonts w:ascii="Times New Roman" w:hAnsi="Times New Roman" w:eastAsiaTheme="minorEastAsia"/>
                <w:sz w:val="24"/>
                <w:szCs w:val="24"/>
              </w:rPr>
              <w:t>□4</w:t>
            </w:r>
            <w:r>
              <w:rPr>
                <w:rFonts w:ascii="Times New Roman" w:hAnsiTheme="minorEastAsia" w:eastAsiaTheme="minorEastAsia"/>
                <w:sz w:val="24"/>
                <w:szCs w:val="24"/>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Times New Roman" w:hAnsi="Times New Roman" w:eastAsiaTheme="minorEastAsia"/>
                <w:sz w:val="24"/>
                <w:szCs w:val="24"/>
              </w:rPr>
            </w:pPr>
          </w:p>
        </w:tc>
        <w:tc>
          <w:tcPr>
            <w:tcW w:w="6949" w:type="dxa"/>
            <w:gridSpan w:val="2"/>
          </w:tcPr>
          <w:p>
            <w:pPr>
              <w:spacing w:line="500" w:lineRule="exact"/>
              <w:rPr>
                <w:rFonts w:ascii="Times New Roman" w:hAnsi="Times New Roman" w:eastAsiaTheme="minorEastAsia"/>
                <w:sz w:val="24"/>
                <w:szCs w:val="24"/>
              </w:rPr>
            </w:pPr>
            <w:r>
              <w:rPr>
                <w:rFonts w:ascii="Times New Roman" w:hAnsi="Times New Roman" w:eastAsiaTheme="minorEastAsia"/>
                <w:sz w:val="24"/>
                <w:szCs w:val="24"/>
              </w:rPr>
              <w:t>□5</w:t>
            </w:r>
            <w:r>
              <w:rPr>
                <w:rFonts w:ascii="Times New Roman" w:hAnsiTheme="minorEastAsia" w:eastAsiaTheme="minorEastAsia"/>
                <w:sz w:val="24"/>
                <w:szCs w:val="24"/>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Times New Roman" w:hAnsi="Times New Roman" w:eastAsiaTheme="minorEastAsia"/>
                <w:sz w:val="24"/>
                <w:szCs w:val="24"/>
              </w:rPr>
            </w:pPr>
          </w:p>
        </w:tc>
        <w:tc>
          <w:tcPr>
            <w:tcW w:w="6949" w:type="dxa"/>
            <w:gridSpan w:val="2"/>
          </w:tcPr>
          <w:p>
            <w:pPr>
              <w:spacing w:line="500" w:lineRule="exact"/>
              <w:rPr>
                <w:rFonts w:ascii="Times New Roman" w:hAnsi="Times New Roman" w:eastAsiaTheme="minorEastAsia"/>
                <w:sz w:val="24"/>
                <w:szCs w:val="24"/>
              </w:rPr>
            </w:pPr>
            <w:r>
              <w:rPr>
                <w:rFonts w:ascii="Times New Roman" w:hAnsi="Times New Roman" w:eastAsiaTheme="minorEastAsia"/>
                <w:sz w:val="24"/>
                <w:szCs w:val="24"/>
              </w:rPr>
              <w:t>□6</w:t>
            </w:r>
            <w:r>
              <w:rPr>
                <w:rFonts w:ascii="Times New Roman" w:hAnsiTheme="minorEastAsia" w:eastAsiaTheme="minorEastAsia"/>
                <w:sz w:val="24"/>
                <w:szCs w:val="24"/>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eastAsiaTheme="minorEastAsia"/>
                <w:sz w:val="24"/>
                <w:szCs w:val="24"/>
              </w:rPr>
            </w:pPr>
            <w:r>
              <w:rPr>
                <w:rFonts w:ascii="Times New Roman" w:hAnsiTheme="minorEastAsia" w:eastAsiaTheme="minorEastAsia"/>
                <w:sz w:val="24"/>
                <w:szCs w:val="24"/>
              </w:rPr>
              <w:t>备注</w:t>
            </w:r>
          </w:p>
        </w:tc>
        <w:tc>
          <w:tcPr>
            <w:tcW w:w="6949" w:type="dxa"/>
            <w:gridSpan w:val="2"/>
          </w:tcPr>
          <w:tbl>
            <w:tblPr>
              <w:tblStyle w:val="11"/>
              <w:tblpPr w:leftFromText="180" w:rightFromText="180" w:horzAnchor="margin" w:tblpY="598"/>
              <w:tblOverlap w:val="never"/>
              <w:tblW w:w="68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1559"/>
              <w:gridCol w:w="1560"/>
              <w:gridCol w:w="1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2122" w:type="dxa"/>
                  <w:tcBorders>
                    <w:top w:val="single" w:color="auto" w:sz="4" w:space="0"/>
                    <w:left w:val="single" w:color="auto" w:sz="4" w:space="0"/>
                    <w:bottom w:val="single" w:color="auto" w:sz="4" w:space="0"/>
                    <w:right w:val="single" w:color="auto" w:sz="4" w:space="0"/>
                  </w:tcBorders>
                  <w:shd w:val="clear" w:color="auto" w:fill="D9D9D9"/>
                  <w:vAlign w:val="center"/>
                </w:tcPr>
                <w:p>
                  <w:pPr>
                    <w:widowControl/>
                    <w:jc w:val="center"/>
                    <w:rPr>
                      <w:rFonts w:ascii="Times New Roman" w:hAnsi="Times New Roman" w:eastAsiaTheme="minorEastAsia"/>
                      <w:sz w:val="24"/>
                      <w:szCs w:val="24"/>
                    </w:rPr>
                  </w:pPr>
                  <w:r>
                    <w:rPr>
                      <w:rFonts w:ascii="Times New Roman" w:hAnsiTheme="minorEastAsia" w:eastAsiaTheme="minorEastAsia"/>
                      <w:sz w:val="24"/>
                      <w:szCs w:val="24"/>
                    </w:rPr>
                    <w:t>相关产品市场</w:t>
                  </w:r>
                </w:p>
              </w:tc>
              <w:tc>
                <w:tcPr>
                  <w:tcW w:w="1559" w:type="dxa"/>
                  <w:tcBorders>
                    <w:top w:val="single" w:color="auto" w:sz="4" w:space="0"/>
                    <w:left w:val="single" w:color="auto" w:sz="4" w:space="0"/>
                    <w:bottom w:val="single" w:color="auto" w:sz="4" w:space="0"/>
                    <w:right w:val="single" w:color="auto" w:sz="4" w:space="0"/>
                  </w:tcBorders>
                  <w:shd w:val="clear" w:color="auto" w:fill="D9D9D9"/>
                  <w:vAlign w:val="center"/>
                </w:tcPr>
                <w:p>
                  <w:pPr>
                    <w:widowControl/>
                    <w:jc w:val="center"/>
                    <w:rPr>
                      <w:rFonts w:ascii="Times New Roman" w:hAnsiTheme="minorEastAsia" w:eastAsiaTheme="minorEastAsia"/>
                      <w:sz w:val="24"/>
                      <w:szCs w:val="24"/>
                    </w:rPr>
                  </w:pPr>
                  <w:r>
                    <w:rPr>
                      <w:rFonts w:hint="eastAsia" w:ascii="Times New Roman" w:hAnsiTheme="minorEastAsia" w:eastAsiaTheme="minorEastAsia"/>
                      <w:sz w:val="24"/>
                      <w:szCs w:val="24"/>
                    </w:rPr>
                    <w:t>SCHOTT AG</w:t>
                  </w:r>
                </w:p>
                <w:p>
                  <w:pPr>
                    <w:widowControl/>
                    <w:jc w:val="center"/>
                    <w:rPr>
                      <w:rFonts w:ascii="Times New Roman" w:hAnsi="Times New Roman" w:eastAsiaTheme="minorEastAsia"/>
                      <w:sz w:val="24"/>
                      <w:szCs w:val="24"/>
                    </w:rPr>
                  </w:pPr>
                  <w:r>
                    <w:rPr>
                      <w:rFonts w:ascii="Times New Roman" w:hAnsiTheme="minorEastAsia" w:eastAsiaTheme="minorEastAsia"/>
                      <w:sz w:val="24"/>
                      <w:szCs w:val="24"/>
                    </w:rPr>
                    <w:t>市场份额</w:t>
                  </w:r>
                </w:p>
              </w:tc>
              <w:tc>
                <w:tcPr>
                  <w:tcW w:w="1560" w:type="dxa"/>
                  <w:tcBorders>
                    <w:top w:val="single" w:color="auto" w:sz="4" w:space="0"/>
                    <w:left w:val="single" w:color="auto" w:sz="4" w:space="0"/>
                    <w:bottom w:val="single" w:color="auto" w:sz="4" w:space="0"/>
                    <w:right w:val="single" w:color="auto" w:sz="4" w:space="0"/>
                  </w:tcBorders>
                  <w:shd w:val="clear" w:color="auto" w:fill="D9D9D9"/>
                  <w:vAlign w:val="center"/>
                </w:tcPr>
                <w:p>
                  <w:pPr>
                    <w:widowControl/>
                    <w:jc w:val="center"/>
                    <w:rPr>
                      <w:rFonts w:ascii="Times New Roman" w:hAnsiTheme="minorEastAsia" w:eastAsiaTheme="minorEastAsia"/>
                      <w:sz w:val="24"/>
                      <w:szCs w:val="24"/>
                    </w:rPr>
                  </w:pPr>
                  <w:r>
                    <w:rPr>
                      <w:rFonts w:hint="eastAsia" w:ascii="Times New Roman" w:hAnsiTheme="minorEastAsia" w:eastAsiaTheme="minorEastAsia"/>
                      <w:sz w:val="24"/>
                      <w:szCs w:val="24"/>
                    </w:rPr>
                    <w:t>水晶光电</w:t>
                  </w:r>
                </w:p>
                <w:p>
                  <w:pPr>
                    <w:widowControl/>
                    <w:jc w:val="center"/>
                    <w:rPr>
                      <w:rFonts w:ascii="Times New Roman" w:hAnsi="Times New Roman" w:eastAsiaTheme="minorEastAsia"/>
                      <w:sz w:val="24"/>
                      <w:szCs w:val="24"/>
                    </w:rPr>
                  </w:pPr>
                  <w:r>
                    <w:rPr>
                      <w:rFonts w:ascii="Times New Roman" w:hAnsiTheme="minorEastAsia" w:eastAsiaTheme="minorEastAsia"/>
                      <w:sz w:val="24"/>
                      <w:szCs w:val="24"/>
                    </w:rPr>
                    <w:t>市场份额</w:t>
                  </w:r>
                </w:p>
              </w:tc>
              <w:tc>
                <w:tcPr>
                  <w:tcW w:w="1560" w:type="dxa"/>
                  <w:tcBorders>
                    <w:top w:val="single" w:color="auto" w:sz="4" w:space="0"/>
                    <w:left w:val="single" w:color="auto" w:sz="4" w:space="0"/>
                    <w:bottom w:val="single" w:color="auto" w:sz="4" w:space="0"/>
                    <w:right w:val="single" w:color="auto" w:sz="4" w:space="0"/>
                  </w:tcBorders>
                  <w:shd w:val="clear" w:color="auto" w:fill="D9D9D9"/>
                  <w:vAlign w:val="center"/>
                </w:tcPr>
                <w:p>
                  <w:pPr>
                    <w:widowControl/>
                    <w:jc w:val="center"/>
                    <w:rPr>
                      <w:rFonts w:ascii="Times New Roman" w:hAnsi="Times New Roman" w:eastAsiaTheme="minorEastAsia"/>
                      <w:sz w:val="24"/>
                      <w:szCs w:val="24"/>
                    </w:rPr>
                  </w:pPr>
                  <w:r>
                    <w:rPr>
                      <w:rFonts w:ascii="Times New Roman" w:hAnsiTheme="minorEastAsia" w:eastAsiaTheme="minorEastAsia"/>
                      <w:sz w:val="24"/>
                      <w:szCs w:val="24"/>
                    </w:rPr>
                    <w:t>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2122"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Theme="minorEastAsia"/>
                      <w:sz w:val="24"/>
                      <w:szCs w:val="24"/>
                    </w:rPr>
                  </w:pPr>
                  <w:r>
                    <w:rPr>
                      <w:rFonts w:hint="eastAsia" w:ascii="Times New Roman" w:hAnsiTheme="minorEastAsia" w:eastAsiaTheme="minorEastAsia"/>
                      <w:sz w:val="24"/>
                      <w:szCs w:val="24"/>
                    </w:rPr>
                    <w:t>移动设备用超薄玻璃的加工市场</w:t>
                  </w:r>
                </w:p>
              </w:tc>
              <w:tc>
                <w:tcPr>
                  <w:tcW w:w="1559"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eastAsiaTheme="minorEastAsia"/>
                      <w:sz w:val="24"/>
                      <w:szCs w:val="24"/>
                      <w:highlight w:val="yellow"/>
                    </w:rPr>
                  </w:pPr>
                  <w:r>
                    <w:rPr>
                      <w:rFonts w:ascii="Times New Roman" w:hAnsi="Times New Roman" w:eastAsiaTheme="minorEastAsia"/>
                      <w:sz w:val="24"/>
                      <w:szCs w:val="24"/>
                    </w:rPr>
                    <w:t>[</w:t>
                  </w:r>
                  <w:r>
                    <w:rPr>
                      <w:rFonts w:hint="eastAsia" w:ascii="Times New Roman" w:hAnsi="Times New Roman" w:eastAsiaTheme="minorEastAsia"/>
                      <w:sz w:val="24"/>
                      <w:szCs w:val="24"/>
                    </w:rPr>
                    <w:t>0-5</w:t>
                  </w:r>
                  <w:r>
                    <w:rPr>
                      <w:rFonts w:ascii="Times New Roman" w:hAnsi="Times New Roman" w:eastAsiaTheme="minorEastAsia"/>
                      <w:sz w:val="24"/>
                      <w:szCs w:val="24"/>
                    </w:rPr>
                    <w:t>]%</w:t>
                  </w:r>
                </w:p>
              </w:tc>
              <w:tc>
                <w:tcPr>
                  <w:tcW w:w="1560"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eastAsiaTheme="minorEastAsia"/>
                      <w:sz w:val="24"/>
                      <w:szCs w:val="24"/>
                      <w:highlight w:val="yellow"/>
                    </w:rPr>
                  </w:pPr>
                  <w:r>
                    <w:rPr>
                      <w:rFonts w:ascii="Times New Roman" w:hAnsi="Times New Roman" w:eastAsiaTheme="minorEastAsia"/>
                      <w:sz w:val="24"/>
                      <w:szCs w:val="24"/>
                    </w:rPr>
                    <w:t>[</w:t>
                  </w:r>
                  <w:r>
                    <w:rPr>
                      <w:rFonts w:hint="eastAsia" w:ascii="Times New Roman" w:hAnsi="Times New Roman" w:eastAsiaTheme="minorEastAsia"/>
                      <w:sz w:val="24"/>
                      <w:szCs w:val="24"/>
                    </w:rPr>
                    <w:t>0-5</w:t>
                  </w:r>
                  <w:r>
                    <w:rPr>
                      <w:rFonts w:ascii="Times New Roman" w:hAnsi="Times New Roman" w:eastAsiaTheme="minorEastAsia"/>
                      <w:sz w:val="24"/>
                      <w:szCs w:val="24"/>
                    </w:rPr>
                    <w:t>]%</w:t>
                  </w:r>
                </w:p>
              </w:tc>
              <w:tc>
                <w:tcPr>
                  <w:tcW w:w="1560"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eastAsiaTheme="minorEastAsia"/>
                      <w:sz w:val="24"/>
                      <w:szCs w:val="24"/>
                      <w:highlight w:val="yellow"/>
                    </w:rPr>
                  </w:pPr>
                  <w:r>
                    <w:rPr>
                      <w:rFonts w:ascii="Times New Roman" w:hAnsi="Times New Roman" w:eastAsiaTheme="minorEastAsia"/>
                      <w:sz w:val="24"/>
                      <w:szCs w:val="24"/>
                    </w:rPr>
                    <w:t>[</w:t>
                  </w:r>
                  <w:r>
                    <w:rPr>
                      <w:rFonts w:hint="eastAsia" w:ascii="Times New Roman" w:hAnsi="Times New Roman" w:eastAsiaTheme="minorEastAsia"/>
                      <w:sz w:val="24"/>
                      <w:szCs w:val="24"/>
                    </w:rPr>
                    <w:t>0-5</w:t>
                  </w:r>
                  <w:r>
                    <w:rPr>
                      <w:rFonts w:ascii="Times New Roman" w:hAnsi="Times New Roman" w:eastAsiaTheme="minorEastAsia"/>
                      <w:sz w:val="24"/>
                      <w:szCs w:val="24"/>
                    </w:rPr>
                    <w:t>]%</w:t>
                  </w:r>
                </w:p>
              </w:tc>
            </w:tr>
          </w:tbl>
          <w:p>
            <w:pPr>
              <w:spacing w:line="500" w:lineRule="exact"/>
              <w:rPr>
                <w:rFonts w:ascii="Times New Roman" w:hAnsi="Times New Roman" w:eastAsiaTheme="minorEastAsia"/>
                <w:sz w:val="24"/>
                <w:szCs w:val="24"/>
              </w:rPr>
            </w:pPr>
            <w:r>
              <w:rPr>
                <w:rFonts w:hint="eastAsia" w:ascii="Times New Roman" w:hAnsiTheme="minorEastAsia" w:eastAsiaTheme="minorEastAsia"/>
                <w:sz w:val="24"/>
                <w:szCs w:val="24"/>
              </w:rPr>
              <w:t>1. 合资公司</w:t>
            </w:r>
            <w:r>
              <w:rPr>
                <w:rFonts w:ascii="Times New Roman" w:hAnsiTheme="minorEastAsia" w:eastAsiaTheme="minorEastAsia"/>
                <w:sz w:val="24"/>
                <w:szCs w:val="24"/>
              </w:rPr>
              <w:t>相关产品市场和市场份额如下：</w:t>
            </w:r>
          </w:p>
          <w:p>
            <w:pPr>
              <w:spacing w:line="500" w:lineRule="exact"/>
              <w:rPr>
                <w:rFonts w:ascii="Times New Roman" w:hAnsiTheme="minorEastAsia" w:eastAsiaTheme="minorEastAsia"/>
                <w:sz w:val="24"/>
                <w:szCs w:val="24"/>
              </w:rPr>
            </w:pPr>
            <w:r>
              <w:rPr>
                <w:rFonts w:ascii="Times New Roman" w:hAnsiTheme="minorEastAsia" w:eastAsiaTheme="minorEastAsia"/>
                <w:sz w:val="24"/>
                <w:szCs w:val="24"/>
              </w:rPr>
              <w:t>相关地域市场为：</w:t>
            </w:r>
            <w:r>
              <w:rPr>
                <w:rFonts w:hint="eastAsia" w:ascii="Times New Roman" w:hAnsiTheme="minorEastAsia" w:eastAsiaTheme="minorEastAsia"/>
                <w:sz w:val="24"/>
                <w:szCs w:val="24"/>
                <w:lang w:val="en-US" w:eastAsia="zh-CN"/>
              </w:rPr>
              <w:t>中国</w:t>
            </w:r>
            <w:r>
              <w:rPr>
                <w:rFonts w:hint="eastAsia" w:ascii="Times New Roman" w:hAnsiTheme="minorEastAsia" w:eastAsiaTheme="minorEastAsia"/>
                <w:sz w:val="24"/>
                <w:szCs w:val="24"/>
              </w:rPr>
              <w:t>。</w:t>
            </w:r>
          </w:p>
          <w:p>
            <w:pPr>
              <w:spacing w:line="500" w:lineRule="exact"/>
              <w:rPr>
                <w:rFonts w:ascii="Times New Roman" w:hAnsiTheme="minorEastAsia" w:eastAsiaTheme="minorEastAsia"/>
                <w:sz w:val="24"/>
                <w:szCs w:val="24"/>
              </w:rPr>
            </w:pPr>
            <w:r>
              <w:rPr>
                <w:rFonts w:hint="eastAsia" w:ascii="Times New Roman" w:hAnsiTheme="minorEastAsia" w:eastAsiaTheme="minorEastAsia"/>
                <w:sz w:val="24"/>
                <w:szCs w:val="24"/>
              </w:rPr>
              <w:t>2. 上游市场</w:t>
            </w:r>
          </w:p>
          <w:p>
            <w:pPr>
              <w:spacing w:line="500" w:lineRule="exact"/>
              <w:rPr>
                <w:rFonts w:ascii="Times New Roman" w:hAnsi="Times New Roman" w:eastAsiaTheme="minorEastAsia"/>
                <w:sz w:val="24"/>
                <w:szCs w:val="24"/>
              </w:rPr>
            </w:pPr>
            <w:r>
              <w:rPr>
                <w:rFonts w:hint="eastAsia" w:ascii="Times New Roman" w:hAnsiTheme="minorEastAsia" w:eastAsiaTheme="minorEastAsia"/>
                <w:sz w:val="24"/>
                <w:szCs w:val="24"/>
              </w:rPr>
              <w:t>SCHOTT AG在上游市场，即移动设备用特种薄玻璃、移动设备用蓝玻璃以及高折射率玻璃的市场份额分别为</w:t>
            </w:r>
            <w:r>
              <w:rPr>
                <w:rFonts w:ascii="Times New Roman" w:hAnsi="Times New Roman" w:eastAsiaTheme="minorEastAsia"/>
                <w:sz w:val="24"/>
                <w:szCs w:val="24"/>
              </w:rPr>
              <w:t>[</w:t>
            </w:r>
            <w:r>
              <w:rPr>
                <w:rFonts w:hint="eastAsia" w:ascii="Times New Roman" w:hAnsi="Times New Roman" w:eastAsiaTheme="minorEastAsia"/>
                <w:sz w:val="24"/>
                <w:szCs w:val="24"/>
              </w:rPr>
              <w:t>0-5</w:t>
            </w:r>
            <w:r>
              <w:rPr>
                <w:rFonts w:ascii="Times New Roman" w:hAnsi="Times New Roman" w:eastAsiaTheme="minorEastAsia"/>
                <w:sz w:val="24"/>
                <w:szCs w:val="24"/>
              </w:rPr>
              <w:t>]%</w:t>
            </w:r>
            <w:r>
              <w:rPr>
                <w:rFonts w:hint="eastAsia" w:ascii="Times New Roman" w:hAnsi="Times New Roman" w:eastAsiaTheme="minorEastAsia"/>
                <w:sz w:val="24"/>
                <w:szCs w:val="24"/>
              </w:rPr>
              <w:t>，</w:t>
            </w:r>
            <w:r>
              <w:rPr>
                <w:rFonts w:ascii="Times New Roman" w:hAnsi="Times New Roman" w:eastAsiaTheme="minorEastAsia"/>
                <w:sz w:val="24"/>
                <w:szCs w:val="24"/>
              </w:rPr>
              <w:t>[</w:t>
            </w:r>
            <w:r>
              <w:rPr>
                <w:rFonts w:hint="eastAsia" w:ascii="Times New Roman" w:hAnsi="Times New Roman" w:eastAsiaTheme="minorEastAsia"/>
                <w:sz w:val="24"/>
                <w:szCs w:val="24"/>
              </w:rPr>
              <w:t>5-10</w:t>
            </w:r>
            <w:r>
              <w:rPr>
                <w:rFonts w:ascii="Times New Roman" w:hAnsi="Times New Roman" w:eastAsiaTheme="minorEastAsia"/>
                <w:sz w:val="24"/>
                <w:szCs w:val="24"/>
              </w:rPr>
              <w:t>]%</w:t>
            </w:r>
            <w:r>
              <w:rPr>
                <w:rFonts w:hint="eastAsia" w:ascii="Times New Roman" w:hAnsi="Times New Roman" w:eastAsiaTheme="minorEastAsia"/>
                <w:sz w:val="24"/>
                <w:szCs w:val="24"/>
              </w:rPr>
              <w:t>以及</w:t>
            </w:r>
            <w:r>
              <w:rPr>
                <w:rFonts w:ascii="Times New Roman" w:hAnsi="Times New Roman" w:eastAsiaTheme="minorEastAsia"/>
                <w:sz w:val="24"/>
                <w:szCs w:val="24"/>
              </w:rPr>
              <w:t>[</w:t>
            </w:r>
            <w:r>
              <w:rPr>
                <w:rFonts w:hint="eastAsia" w:ascii="Times New Roman" w:hAnsi="Times New Roman" w:eastAsiaTheme="minorEastAsia"/>
                <w:sz w:val="24"/>
                <w:szCs w:val="24"/>
              </w:rPr>
              <w:t>0-5</w:t>
            </w:r>
            <w:r>
              <w:rPr>
                <w:rFonts w:ascii="Times New Roman" w:hAnsi="Times New Roman" w:eastAsiaTheme="minorEastAsia"/>
                <w:sz w:val="24"/>
                <w:szCs w:val="24"/>
              </w:rPr>
              <w:t>]%</w:t>
            </w:r>
            <w:r>
              <w:rPr>
                <w:rFonts w:hint="eastAsia" w:ascii="Times New Roman" w:hAnsi="Times New Roman" w:eastAsiaTheme="minorEastAsia"/>
                <w:sz w:val="24"/>
                <w:szCs w:val="24"/>
              </w:rPr>
              <w:t>。</w:t>
            </w:r>
          </w:p>
          <w:p>
            <w:pPr>
              <w:spacing w:line="500" w:lineRule="exact"/>
              <w:rPr>
                <w:rFonts w:ascii="Times New Roman" w:hAnsiTheme="minorEastAsia" w:eastAsiaTheme="minorEastAsia"/>
                <w:sz w:val="24"/>
                <w:szCs w:val="24"/>
              </w:rPr>
            </w:pPr>
            <w:r>
              <w:rPr>
                <w:rFonts w:ascii="Times New Roman" w:hAnsiTheme="minorEastAsia" w:eastAsiaTheme="minorEastAsia"/>
                <w:sz w:val="24"/>
                <w:szCs w:val="24"/>
              </w:rPr>
              <w:t>相关地域市场</w:t>
            </w:r>
            <w:r>
              <w:rPr>
                <w:rFonts w:hint="eastAsia" w:ascii="Times New Roman" w:hAnsiTheme="minorEastAsia" w:eastAsiaTheme="minorEastAsia"/>
                <w:sz w:val="24"/>
                <w:szCs w:val="24"/>
              </w:rPr>
              <w:t>均</w:t>
            </w:r>
            <w:r>
              <w:rPr>
                <w:rFonts w:ascii="Times New Roman" w:hAnsiTheme="minorEastAsia" w:eastAsiaTheme="minorEastAsia"/>
                <w:sz w:val="24"/>
                <w:szCs w:val="24"/>
              </w:rPr>
              <w:t>为：</w:t>
            </w:r>
            <w:r>
              <w:rPr>
                <w:rFonts w:hint="eastAsia" w:ascii="Times New Roman" w:hAnsiTheme="minorEastAsia" w:eastAsiaTheme="minorEastAsia"/>
                <w:sz w:val="24"/>
                <w:szCs w:val="24"/>
              </w:rPr>
              <w:t>全球。</w:t>
            </w:r>
          </w:p>
          <w:p>
            <w:pPr>
              <w:spacing w:line="500" w:lineRule="exact"/>
              <w:rPr>
                <w:rFonts w:ascii="Times New Roman" w:hAnsi="Times New Roman" w:eastAsiaTheme="minorEastAsia"/>
                <w:sz w:val="24"/>
                <w:szCs w:val="24"/>
              </w:rPr>
            </w:pPr>
            <w:r>
              <w:rPr>
                <w:rFonts w:hint="eastAsia" w:ascii="Times New Roman" w:hAnsi="Times New Roman" w:eastAsiaTheme="minorEastAsia"/>
                <w:sz w:val="24"/>
                <w:szCs w:val="24"/>
              </w:rPr>
              <w:t>3. 下游市场</w:t>
            </w:r>
          </w:p>
          <w:p>
            <w:pPr>
              <w:spacing w:line="500" w:lineRule="exact"/>
              <w:rPr>
                <w:rFonts w:ascii="Times New Roman" w:hAnsi="Times New Roman" w:eastAsiaTheme="minorEastAsia"/>
                <w:sz w:val="24"/>
                <w:szCs w:val="24"/>
              </w:rPr>
            </w:pPr>
            <w:r>
              <w:rPr>
                <w:rFonts w:hint="eastAsia" w:ascii="Times New Roman" w:hAnsi="Times New Roman" w:eastAsiaTheme="minorEastAsia"/>
                <w:sz w:val="24"/>
                <w:szCs w:val="24"/>
              </w:rPr>
              <w:t>水晶光电在下游市场，即移动设备用滤光片、移动设备用盖板的市场份额为[</w:t>
            </w:r>
            <w:r>
              <w:rPr>
                <w:rFonts w:hint="eastAsia" w:ascii="Times New Roman" w:hAnsi="Times New Roman" w:eastAsiaTheme="minorEastAsia"/>
                <w:sz w:val="24"/>
                <w:szCs w:val="24"/>
                <w:lang w:val="en-US" w:eastAsia="zh-CN"/>
              </w:rPr>
              <w:t>20</w:t>
            </w:r>
            <w:r>
              <w:rPr>
                <w:rFonts w:hint="eastAsia" w:ascii="Times New Roman" w:hAnsi="Times New Roman" w:eastAsiaTheme="minorEastAsia"/>
                <w:sz w:val="24"/>
                <w:szCs w:val="24"/>
              </w:rPr>
              <w:t>-2</w:t>
            </w:r>
            <w:r>
              <w:rPr>
                <w:rFonts w:hint="eastAsia" w:ascii="Times New Roman" w:hAnsi="Times New Roman" w:eastAsiaTheme="minorEastAsia"/>
                <w:sz w:val="24"/>
                <w:szCs w:val="24"/>
                <w:lang w:val="en-US" w:eastAsia="zh-CN"/>
              </w:rPr>
              <w:t>5</w:t>
            </w:r>
            <w:r>
              <w:rPr>
                <w:rFonts w:hint="eastAsia" w:ascii="Times New Roman" w:hAnsi="Times New Roman" w:eastAsiaTheme="minorEastAsia"/>
                <w:sz w:val="24"/>
                <w:szCs w:val="24"/>
              </w:rPr>
              <w:t>%]以及</w:t>
            </w:r>
            <w:r>
              <w:rPr>
                <w:rFonts w:ascii="Times New Roman" w:hAnsi="Times New Roman" w:eastAsiaTheme="minorEastAsia"/>
                <w:sz w:val="24"/>
                <w:szCs w:val="24"/>
              </w:rPr>
              <w:t>[</w:t>
            </w:r>
            <w:r>
              <w:rPr>
                <w:rFonts w:hint="eastAsia" w:ascii="Times New Roman" w:hAnsi="Times New Roman" w:eastAsiaTheme="minorEastAsia"/>
                <w:sz w:val="24"/>
                <w:szCs w:val="24"/>
              </w:rPr>
              <w:t>0-5</w:t>
            </w:r>
            <w:r>
              <w:rPr>
                <w:rFonts w:ascii="Times New Roman" w:hAnsi="Times New Roman" w:eastAsiaTheme="minorEastAsia"/>
                <w:sz w:val="24"/>
                <w:szCs w:val="24"/>
              </w:rPr>
              <w:t>]%</w:t>
            </w:r>
            <w:r>
              <w:rPr>
                <w:rFonts w:hint="eastAsia" w:ascii="Times New Roman" w:hAnsi="Times New Roman" w:eastAsiaTheme="minorEastAsia"/>
                <w:sz w:val="24"/>
                <w:szCs w:val="24"/>
              </w:rPr>
              <w:t>。</w:t>
            </w:r>
            <w:bookmarkStart w:id="0" w:name="_GoBack"/>
            <w:bookmarkEnd w:id="0"/>
          </w:p>
          <w:p>
            <w:pPr>
              <w:spacing w:line="500" w:lineRule="exact"/>
              <w:rPr>
                <w:rFonts w:ascii="Times New Roman" w:hAnsiTheme="minorEastAsia" w:eastAsiaTheme="minorEastAsia"/>
                <w:sz w:val="24"/>
                <w:szCs w:val="24"/>
              </w:rPr>
            </w:pPr>
            <w:r>
              <w:rPr>
                <w:rFonts w:ascii="Times New Roman" w:hAnsiTheme="minorEastAsia" w:eastAsiaTheme="minorEastAsia"/>
                <w:sz w:val="24"/>
                <w:szCs w:val="24"/>
              </w:rPr>
              <w:t>相关地域市场</w:t>
            </w:r>
            <w:r>
              <w:rPr>
                <w:rFonts w:hint="eastAsia" w:ascii="Times New Roman" w:hAnsiTheme="minorEastAsia" w:eastAsiaTheme="minorEastAsia"/>
                <w:sz w:val="24"/>
                <w:szCs w:val="24"/>
              </w:rPr>
              <w:t>均</w:t>
            </w:r>
            <w:r>
              <w:rPr>
                <w:rFonts w:ascii="Times New Roman" w:hAnsiTheme="minorEastAsia" w:eastAsiaTheme="minorEastAsia"/>
                <w:sz w:val="24"/>
                <w:szCs w:val="24"/>
              </w:rPr>
              <w:t>为：</w:t>
            </w:r>
            <w:r>
              <w:rPr>
                <w:rFonts w:hint="eastAsia" w:ascii="Times New Roman" w:hAnsiTheme="minorEastAsia" w:eastAsiaTheme="minorEastAsia"/>
                <w:sz w:val="24"/>
                <w:szCs w:val="24"/>
              </w:rPr>
              <w:t>全球。</w:t>
            </w:r>
          </w:p>
        </w:tc>
      </w:tr>
    </w:tbl>
    <w:p>
      <w:pPr>
        <w:snapToGrid w:val="0"/>
        <w:spacing w:line="240" w:lineRule="exact"/>
        <w:jc w:val="left"/>
        <w:rPr>
          <w:rFonts w:asciiTheme="minorEastAsia" w:hAnsiTheme="minorEastAsia" w:eastAsiaTheme="minorEastAsia"/>
          <w:sz w:val="24"/>
          <w:szCs w:val="24"/>
        </w:rPr>
      </w:pPr>
    </w:p>
    <w:p>
      <w:pPr>
        <w:snapToGrid w:val="0"/>
        <w:spacing w:line="240" w:lineRule="exact"/>
        <w:jc w:val="left"/>
        <w:rPr>
          <w:rFonts w:asciiTheme="minorEastAsia" w:hAnsiTheme="minorEastAsia" w:eastAsiaTheme="minorEastAsia"/>
          <w:sz w:val="24"/>
          <w:szCs w:val="24"/>
        </w:rPr>
      </w:pPr>
      <w:r>
        <w:rPr>
          <w:rFonts w:hint="eastAsia" w:asciiTheme="minorEastAsia" w:hAnsiTheme="minorEastAsia" w:eastAsiaTheme="minorEastAsia"/>
          <w:sz w:val="24"/>
          <w:szCs w:val="24"/>
        </w:rPr>
        <w:t>注解：</w:t>
      </w:r>
    </w:p>
    <w:p>
      <w:pPr>
        <w:snapToGrid w:val="0"/>
        <w:spacing w:line="360" w:lineRule="auto"/>
        <w:ind w:firstLine="480" w:firstLineChars="200"/>
        <w:jc w:val="left"/>
        <w:rPr>
          <w:rFonts w:asciiTheme="minorEastAsia" w:hAnsiTheme="minorEastAsia" w:eastAsiaTheme="minorEastAsia"/>
          <w:sz w:val="24"/>
          <w:szCs w:val="24"/>
        </w:rPr>
      </w:pPr>
      <w:r>
        <w:rPr>
          <w:rFonts w:hint="eastAsia" w:asciiTheme="minorEastAsia" w:hAnsiTheme="minorEastAsia" w:eastAsiaTheme="minor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Theme="minorEastAsia" w:hAnsiTheme="minorEastAsia" w:eastAsiaTheme="minorEastAsia"/>
          <w:sz w:val="28"/>
          <w:szCs w:val="28"/>
        </w:rPr>
      </w:pPr>
      <w:r>
        <w:rPr>
          <w:rFonts w:hint="eastAsia" w:asciiTheme="minorEastAsia" w:hAnsiTheme="minorEastAsia" w:eastAsiaTheme="minorEastAsia"/>
          <w:sz w:val="24"/>
          <w:szCs w:val="24"/>
        </w:rPr>
        <w:t>2、申报方申请简易案件的理由是基于第4项、第5项时，无须在备注中说明相关市场和市场份额。</w:t>
      </w:r>
      <w:r>
        <w:rPr>
          <w:rFonts w:hint="eastAsia" w:asciiTheme="minorEastAsia" w:hAnsiTheme="minorEastAsia" w:eastAsiaTheme="minorEastAsia"/>
          <w:sz w:val="24"/>
          <w:szCs w:val="24"/>
        </w:rPr>
        <w:br w:type="textWrapping"/>
      </w:r>
      <w:r>
        <w:rPr>
          <w:rFonts w:hint="eastAsia" w:asciiTheme="minorEastAsia" w:hAnsiTheme="minorEastAsia" w:eastAsiaTheme="minorEastAsia"/>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02794"/>
    <w:rsid w:val="00014F3D"/>
    <w:rsid w:val="00031C9C"/>
    <w:rsid w:val="00076C58"/>
    <w:rsid w:val="00094095"/>
    <w:rsid w:val="000F3D60"/>
    <w:rsid w:val="00123588"/>
    <w:rsid w:val="00123DF9"/>
    <w:rsid w:val="00157F4D"/>
    <w:rsid w:val="0017663E"/>
    <w:rsid w:val="001B5421"/>
    <w:rsid w:val="001D4376"/>
    <w:rsid w:val="001D4552"/>
    <w:rsid w:val="001F2DCA"/>
    <w:rsid w:val="002255E6"/>
    <w:rsid w:val="00245776"/>
    <w:rsid w:val="00253FF0"/>
    <w:rsid w:val="00254730"/>
    <w:rsid w:val="00256A8C"/>
    <w:rsid w:val="00267AD1"/>
    <w:rsid w:val="002B1541"/>
    <w:rsid w:val="002F2D60"/>
    <w:rsid w:val="00300FE1"/>
    <w:rsid w:val="003067E1"/>
    <w:rsid w:val="00307976"/>
    <w:rsid w:val="003249B0"/>
    <w:rsid w:val="003F4A2D"/>
    <w:rsid w:val="00462174"/>
    <w:rsid w:val="00470D00"/>
    <w:rsid w:val="00473FC7"/>
    <w:rsid w:val="004830CB"/>
    <w:rsid w:val="00491A41"/>
    <w:rsid w:val="00505B5A"/>
    <w:rsid w:val="00525058"/>
    <w:rsid w:val="005336DC"/>
    <w:rsid w:val="005405E6"/>
    <w:rsid w:val="00556476"/>
    <w:rsid w:val="005643AF"/>
    <w:rsid w:val="00590900"/>
    <w:rsid w:val="00590ABB"/>
    <w:rsid w:val="005C4166"/>
    <w:rsid w:val="005F167B"/>
    <w:rsid w:val="005F78CD"/>
    <w:rsid w:val="0062781B"/>
    <w:rsid w:val="00633FC1"/>
    <w:rsid w:val="006B4FC4"/>
    <w:rsid w:val="006E2FF1"/>
    <w:rsid w:val="00737CA2"/>
    <w:rsid w:val="00750D5D"/>
    <w:rsid w:val="00754F2D"/>
    <w:rsid w:val="007607C1"/>
    <w:rsid w:val="00781C92"/>
    <w:rsid w:val="00793DED"/>
    <w:rsid w:val="007A56B8"/>
    <w:rsid w:val="0083329B"/>
    <w:rsid w:val="00870CB9"/>
    <w:rsid w:val="00876714"/>
    <w:rsid w:val="008B7730"/>
    <w:rsid w:val="008D6EB8"/>
    <w:rsid w:val="0092528D"/>
    <w:rsid w:val="009427B5"/>
    <w:rsid w:val="009608AE"/>
    <w:rsid w:val="00995CFE"/>
    <w:rsid w:val="009C2BF4"/>
    <w:rsid w:val="009E52E2"/>
    <w:rsid w:val="00A34374"/>
    <w:rsid w:val="00A36C19"/>
    <w:rsid w:val="00A4556A"/>
    <w:rsid w:val="00A4705C"/>
    <w:rsid w:val="00AE44F6"/>
    <w:rsid w:val="00AF19CA"/>
    <w:rsid w:val="00AF73C5"/>
    <w:rsid w:val="00B04864"/>
    <w:rsid w:val="00B411F2"/>
    <w:rsid w:val="00B5189A"/>
    <w:rsid w:val="00B91AD4"/>
    <w:rsid w:val="00BA0750"/>
    <w:rsid w:val="00BB2377"/>
    <w:rsid w:val="00BB66D2"/>
    <w:rsid w:val="00BF1BC1"/>
    <w:rsid w:val="00BF6E13"/>
    <w:rsid w:val="00C434AD"/>
    <w:rsid w:val="00C8646D"/>
    <w:rsid w:val="00C9068E"/>
    <w:rsid w:val="00CE1E41"/>
    <w:rsid w:val="00D03203"/>
    <w:rsid w:val="00D21777"/>
    <w:rsid w:val="00D67051"/>
    <w:rsid w:val="00D86991"/>
    <w:rsid w:val="00DA3A1A"/>
    <w:rsid w:val="00DC42CF"/>
    <w:rsid w:val="00DC6AE8"/>
    <w:rsid w:val="00DD0A59"/>
    <w:rsid w:val="00DF609E"/>
    <w:rsid w:val="00E43109"/>
    <w:rsid w:val="00EB4A3F"/>
    <w:rsid w:val="00ED21B1"/>
    <w:rsid w:val="00EF5DC1"/>
    <w:rsid w:val="00F31B01"/>
    <w:rsid w:val="00F56285"/>
    <w:rsid w:val="00F620CE"/>
    <w:rsid w:val="00F75761"/>
    <w:rsid w:val="00F87C1F"/>
    <w:rsid w:val="1CD61F51"/>
    <w:rsid w:val="327560E5"/>
    <w:rsid w:val="4B3C22E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uiPriority w:val="1"/>
  </w:style>
  <w:style w:type="table" w:default="1" w:styleId="11">
    <w:name w:val="Normal Table"/>
    <w:semiHidden/>
    <w:unhideWhenUsed/>
    <w:qFormat/>
    <w:uiPriority w:val="99"/>
    <w:tblPr>
      <w:tblLayout w:type="fixed"/>
      <w:tblCellMar>
        <w:top w:w="0" w:type="dxa"/>
        <w:left w:w="108" w:type="dxa"/>
        <w:bottom w:w="0" w:type="dxa"/>
        <w:right w:w="108" w:type="dxa"/>
      </w:tblCellMar>
    </w:tblPr>
  </w:style>
  <w:style w:type="paragraph" w:styleId="2">
    <w:name w:val="annotation subject"/>
    <w:basedOn w:val="3"/>
    <w:next w:val="3"/>
    <w:link w:val="17"/>
    <w:semiHidden/>
    <w:unhideWhenUsed/>
    <w:uiPriority w:val="99"/>
    <w:rPr>
      <w:b/>
      <w:bCs/>
    </w:rPr>
  </w:style>
  <w:style w:type="paragraph" w:styleId="3">
    <w:name w:val="annotation text"/>
    <w:basedOn w:val="1"/>
    <w:link w:val="16"/>
    <w:semiHidden/>
    <w:unhideWhenUsed/>
    <w:uiPriority w:val="99"/>
    <w:pPr>
      <w:jc w:val="left"/>
    </w:pPr>
  </w:style>
  <w:style w:type="paragraph" w:styleId="4">
    <w:name w:val="endnote text"/>
    <w:basedOn w:val="1"/>
    <w:link w:val="13"/>
    <w:semiHidden/>
    <w:unhideWhenUsed/>
    <w:uiPriority w:val="99"/>
    <w:pPr>
      <w:snapToGrid w:val="0"/>
      <w:jc w:val="left"/>
    </w:pPr>
  </w:style>
  <w:style w:type="paragraph" w:styleId="5">
    <w:name w:val="Balloon Text"/>
    <w:basedOn w:val="1"/>
    <w:link w:val="18"/>
    <w:semiHidden/>
    <w:unhideWhenUsed/>
    <w:qFormat/>
    <w:uiPriority w:val="99"/>
    <w:rPr>
      <w:sz w:val="18"/>
      <w:szCs w:val="18"/>
    </w:rPr>
  </w:style>
  <w:style w:type="paragraph" w:styleId="6">
    <w:name w:val="footer"/>
    <w:basedOn w:val="1"/>
    <w:link w:val="15"/>
    <w:semiHidden/>
    <w:unhideWhenUsed/>
    <w:uiPriority w:val="99"/>
    <w:pPr>
      <w:tabs>
        <w:tab w:val="center" w:pos="4153"/>
        <w:tab w:val="right" w:pos="8306"/>
      </w:tabs>
      <w:snapToGrid w:val="0"/>
      <w:jc w:val="left"/>
    </w:pPr>
    <w:rPr>
      <w:sz w:val="18"/>
      <w:szCs w:val="18"/>
    </w:rPr>
  </w:style>
  <w:style w:type="paragraph" w:styleId="7">
    <w:name w:val="header"/>
    <w:basedOn w:val="1"/>
    <w:link w:val="14"/>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styleId="9">
    <w:name w:val="endnote reference"/>
    <w:semiHidden/>
    <w:unhideWhenUsed/>
    <w:uiPriority w:val="99"/>
    <w:rPr>
      <w:vertAlign w:val="superscript"/>
    </w:rPr>
  </w:style>
  <w:style w:type="character" w:styleId="10">
    <w:name w:val="annotation reference"/>
    <w:basedOn w:val="8"/>
    <w:semiHidden/>
    <w:unhideWhenUsed/>
    <w:uiPriority w:val="99"/>
    <w:rPr>
      <w:sz w:val="21"/>
      <w:szCs w:val="21"/>
    </w:rPr>
  </w:style>
  <w:style w:type="table" w:styleId="12">
    <w:name w:val="Table Grid"/>
    <w:basedOn w:val="11"/>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13">
    <w:name w:val="Endnote Text Char"/>
    <w:basedOn w:val="8"/>
    <w:link w:val="4"/>
    <w:semiHidden/>
    <w:uiPriority w:val="99"/>
  </w:style>
  <w:style w:type="character" w:customStyle="1" w:styleId="14">
    <w:name w:val="Header Char"/>
    <w:link w:val="7"/>
    <w:semiHidden/>
    <w:qFormat/>
    <w:uiPriority w:val="99"/>
    <w:rPr>
      <w:sz w:val="18"/>
      <w:szCs w:val="18"/>
    </w:rPr>
  </w:style>
  <w:style w:type="character" w:customStyle="1" w:styleId="15">
    <w:name w:val="Footer Char"/>
    <w:link w:val="6"/>
    <w:semiHidden/>
    <w:qFormat/>
    <w:uiPriority w:val="99"/>
    <w:rPr>
      <w:sz w:val="18"/>
      <w:szCs w:val="18"/>
    </w:rPr>
  </w:style>
  <w:style w:type="character" w:customStyle="1" w:styleId="16">
    <w:name w:val="Comment Text Char"/>
    <w:basedOn w:val="8"/>
    <w:link w:val="3"/>
    <w:semiHidden/>
    <w:qFormat/>
    <w:uiPriority w:val="99"/>
    <w:rPr>
      <w:kern w:val="2"/>
      <w:sz w:val="21"/>
      <w:szCs w:val="22"/>
    </w:rPr>
  </w:style>
  <w:style w:type="character" w:customStyle="1" w:styleId="17">
    <w:name w:val="Comment Subject Char"/>
    <w:basedOn w:val="16"/>
    <w:link w:val="2"/>
    <w:semiHidden/>
    <w:uiPriority w:val="99"/>
    <w:rPr>
      <w:b/>
      <w:bCs/>
    </w:rPr>
  </w:style>
  <w:style w:type="character" w:customStyle="1" w:styleId="18">
    <w:name w:val="Balloon Text Char"/>
    <w:basedOn w:val="8"/>
    <w:link w:val="5"/>
    <w:semiHidden/>
    <w:qFormat/>
    <w:uiPriority w:val="99"/>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AD905E-FBEE-4A9B-A57C-A6452C989C5E}">
  <ds:schemaRefs/>
</ds:datastoreItem>
</file>

<file path=docProps/app.xml><?xml version="1.0" encoding="utf-8"?>
<Properties xmlns="http://schemas.openxmlformats.org/officeDocument/2006/extended-properties" xmlns:vt="http://schemas.openxmlformats.org/officeDocument/2006/docPropsVTypes">
  <Template>Normal</Template>
  <Pages>2</Pages>
  <Words>191</Words>
  <Characters>1093</Characters>
  <Lines>9</Lines>
  <Paragraphs>2</Paragraphs>
  <TotalTime>68</TotalTime>
  <ScaleCrop>false</ScaleCrop>
  <LinksUpToDate>false</LinksUpToDate>
  <CharactersWithSpaces>1282</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2015-09-06T13:56:00Z</dcterms:created>
  <dc:creator>Kevin Wang</dc:creator>
  <cp:lastModifiedBy>ladyl</cp:lastModifiedBy>
  <cp:lastPrinted>2015-08-17T08:05:00Z</cp:lastPrinted>
  <dcterms:modified xsi:type="dcterms:W3CDTF">2018-07-26T06:09:54Z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