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  <w:bookmarkStart w:id="0" w:name="_GoBack"/>
      <w:bookmarkEnd w:id="0"/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FF52B1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泰森食品公司收购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MFG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（美国）控股公司等两家公司股权案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C96B80" w:rsidP="00CF13D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泰森与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基斯顿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食品控股有限公司（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Pr="00CF13DB">
              <w:rPr>
                <w:rFonts w:ascii="Times New Roman" w:eastAsia="仿宋_GB2312" w:hAnsi="Times New Roman"/>
                <w:b/>
                <w:sz w:val="28"/>
                <w:szCs w:val="28"/>
              </w:rPr>
              <w:t>控股公司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或</w:t>
            </w:r>
            <w:r w:rsidR="00CF13DB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="00CF13DB" w:rsidRPr="00CF13DB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基斯顿</w:t>
            </w:r>
            <w:r w:rsidR="00CF13DB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）签署了股权购买协议。根据该协议，泰森将购买控股公司在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MFG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（美国）控股公司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CF13DB" w:rsidRPr="00CF13DB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MFG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所有已发行和流通的普通股，以及在铭基卢森堡控股有限公司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CF13DB" w:rsidRPr="00CF13DB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铭基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所有已发行和流通的普通股（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“</w:t>
            </w:r>
            <w:r w:rsidRPr="00CF13DB">
              <w:rPr>
                <w:rFonts w:ascii="Times New Roman" w:eastAsia="仿宋_GB2312" w:hAnsi="Times New Roman"/>
                <w:b/>
                <w:sz w:val="28"/>
                <w:szCs w:val="28"/>
              </w:rPr>
              <w:t>拟议交易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”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）。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MFG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经营基斯顿在美国的业务，而铭基经营基斯顿在亚太地区</w:t>
            </w:r>
            <w:r w:rsidR="004D63C1" w:rsidRPr="007A6E43">
              <w:rPr>
                <w:rFonts w:ascii="Times New Roman" w:eastAsia="仿宋_GB2312" w:hAnsi="Times New Roman"/>
                <w:sz w:val="28"/>
                <w:szCs w:val="28"/>
              </w:rPr>
              <w:t>（包括中国）</w:t>
            </w:r>
            <w:r w:rsidR="004D63C1">
              <w:rPr>
                <w:rFonts w:ascii="Times New Roman" w:eastAsia="仿宋_GB2312" w:hAnsi="Times New Roman" w:hint="eastAsia"/>
                <w:sz w:val="28"/>
                <w:szCs w:val="28"/>
              </w:rPr>
              <w:t>、中东和非洲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的业务。拟议交易完成后，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MFG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和铭基将成为泰森的子公司。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C96B80" w:rsidRPr="007A6E43">
              <w:rPr>
                <w:rFonts w:ascii="Times New Roman" w:eastAsia="仿宋_GB2312" w:hAnsi="Times New Roman"/>
                <w:sz w:val="28"/>
                <w:szCs w:val="28"/>
              </w:rPr>
              <w:t>泰森</w:t>
            </w:r>
          </w:p>
        </w:tc>
        <w:tc>
          <w:tcPr>
            <w:tcW w:w="5153" w:type="dxa"/>
          </w:tcPr>
          <w:p w:rsidR="00094095" w:rsidRPr="007A6E43" w:rsidRDefault="00C96B8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泰森是一家跨国蛋白质食品公司，截至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2017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9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30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日，拥有约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122,000</w:t>
            </w:r>
            <w:r w:rsidR="00CF13DB">
              <w:rPr>
                <w:rFonts w:ascii="Times New Roman" w:eastAsia="仿宋_GB2312" w:hAnsi="Times New Roman"/>
                <w:sz w:val="28"/>
                <w:szCs w:val="28"/>
              </w:rPr>
              <w:t>名员工。泰森主要经营四类业务：牛肉、猪肉、鸡肉和</w:t>
            </w:r>
            <w:r w:rsidR="00CF13DB">
              <w:rPr>
                <w:rFonts w:ascii="Times New Roman" w:eastAsia="仿宋_GB2312" w:hAnsi="Times New Roman" w:hint="eastAsia"/>
                <w:sz w:val="28"/>
                <w:szCs w:val="28"/>
              </w:rPr>
              <w:t>调味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食品。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C96B80" w:rsidRPr="007A6E43">
              <w:rPr>
                <w:rFonts w:ascii="Times New Roman" w:eastAsia="仿宋_GB2312" w:hAnsi="Times New Roman"/>
                <w:sz w:val="28"/>
                <w:szCs w:val="28"/>
              </w:rPr>
              <w:t>铭基</w:t>
            </w:r>
          </w:p>
        </w:tc>
        <w:tc>
          <w:tcPr>
            <w:tcW w:w="5153" w:type="dxa"/>
          </w:tcPr>
          <w:p w:rsidR="00094095" w:rsidRPr="007A6E43" w:rsidRDefault="00C96B8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铭基是基斯顿</w:t>
            </w:r>
            <w:r w:rsidR="004D63C1" w:rsidRPr="004D63C1">
              <w:rPr>
                <w:rFonts w:ascii="Times New Roman" w:eastAsia="仿宋_GB2312" w:hAnsi="Times New Roman" w:hint="eastAsia"/>
                <w:sz w:val="28"/>
                <w:szCs w:val="28"/>
              </w:rPr>
              <w:t>亚太地区（包括中国）、中东和非洲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业务的控股公司。基斯顿是主要连锁餐厅、餐饮服务商和零售商的蛋白质产品供应商。基斯顿向客户供应动物蛋白产品，包括家禽肉、牛肉、鱼肉和猪肉。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7A6E43" w:rsidRDefault="00C96B8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MFG</w:t>
            </w:r>
          </w:p>
        </w:tc>
        <w:tc>
          <w:tcPr>
            <w:tcW w:w="5153" w:type="dxa"/>
          </w:tcPr>
          <w:p w:rsidR="00094095" w:rsidRPr="007A6E43" w:rsidRDefault="00C96B80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MFG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是基斯顿美国业务的控股公司。基斯顿是主要连锁餐厅、餐饮服务商和零售商的蛋白质产品供应商。基斯顿向客户供应动物蛋白产品，包括家禽肉、牛肉、鱼肉和猪肉。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8E5D2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8E5D22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CF13DB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CF13DB">
              <w:rPr>
                <w:rFonts w:ascii="Times New Roman" w:eastAsia="仿宋_GB2312" w:hAnsi="Times New Roman"/>
                <w:sz w:val="28"/>
                <w:szCs w:val="28"/>
              </w:rPr>
              <w:t>相关市场界定</w:t>
            </w:r>
            <w:r w:rsidR="00B205CD">
              <w:rPr>
                <w:rFonts w:ascii="Times New Roman" w:eastAsia="仿宋_GB2312" w:hAnsi="Times New Roman" w:hint="eastAsia"/>
                <w:sz w:val="28"/>
                <w:szCs w:val="28"/>
              </w:rPr>
              <w:t>以及</w:t>
            </w:r>
            <w:r w:rsidR="00B205CD">
              <w:rPr>
                <w:rFonts w:ascii="Times New Roman" w:eastAsia="仿宋_GB2312" w:hAnsi="Times New Roman"/>
                <w:sz w:val="28"/>
                <w:szCs w:val="28"/>
              </w:rPr>
              <w:t>各方的市场份额</w:t>
            </w:r>
            <w:r w:rsidRPr="00CF13DB">
              <w:rPr>
                <w:rFonts w:ascii="Times New Roman" w:eastAsia="仿宋_GB2312" w:hAnsi="Times New Roman"/>
                <w:sz w:val="28"/>
                <w:szCs w:val="28"/>
              </w:rPr>
              <w:t>如下：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79"/>
              <w:gridCol w:w="1681"/>
              <w:gridCol w:w="1681"/>
              <w:gridCol w:w="1682"/>
            </w:tblGrid>
            <w:tr w:rsidR="007A6E43" w:rsidRPr="00CF13DB" w:rsidTr="007A6E43">
              <w:tc>
                <w:tcPr>
                  <w:tcW w:w="1249" w:type="pct"/>
                  <w:vMerge w:val="restart"/>
                  <w:shd w:val="clear" w:color="auto" w:fill="D9D9D9"/>
                  <w:vAlign w:val="center"/>
                </w:tcPr>
                <w:p w:rsidR="007A6E43" w:rsidRPr="00B205CD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</w:pPr>
                  <w:r w:rsidRPr="00B205CD"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  <w:t>相关市场</w:t>
                  </w:r>
                </w:p>
              </w:tc>
              <w:tc>
                <w:tcPr>
                  <w:tcW w:w="3751" w:type="pct"/>
                  <w:gridSpan w:val="3"/>
                  <w:shd w:val="clear" w:color="auto" w:fill="D9D9D9"/>
                  <w:vAlign w:val="center"/>
                </w:tcPr>
                <w:p w:rsidR="007A6E43" w:rsidRPr="00B205CD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</w:pPr>
                  <w:r w:rsidRPr="00B205CD"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  <w:t>市场份额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vMerge/>
                  <w:shd w:val="clear" w:color="auto" w:fill="D9D9D9"/>
                  <w:vAlign w:val="center"/>
                </w:tcPr>
                <w:p w:rsidR="007A6E43" w:rsidRPr="00B205CD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1250" w:type="pct"/>
                  <w:shd w:val="clear" w:color="auto" w:fill="D9D9D9"/>
                  <w:vAlign w:val="center"/>
                </w:tcPr>
                <w:p w:rsidR="007A6E43" w:rsidRPr="00B205CD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</w:pPr>
                  <w:r w:rsidRPr="00B205CD"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  <w:t>泰森</w:t>
                  </w:r>
                </w:p>
              </w:tc>
              <w:tc>
                <w:tcPr>
                  <w:tcW w:w="1250" w:type="pct"/>
                  <w:shd w:val="clear" w:color="auto" w:fill="D9D9D9"/>
                  <w:vAlign w:val="center"/>
                </w:tcPr>
                <w:p w:rsidR="007A6E43" w:rsidRPr="00B205CD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</w:pPr>
                  <w:r w:rsidRPr="00B205CD"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  <w:t>铭基</w:t>
                  </w:r>
                </w:p>
              </w:tc>
              <w:tc>
                <w:tcPr>
                  <w:tcW w:w="1250" w:type="pct"/>
                  <w:shd w:val="clear" w:color="auto" w:fill="D9D9D9"/>
                  <w:vAlign w:val="center"/>
                </w:tcPr>
                <w:p w:rsidR="007A6E43" w:rsidRPr="00B205CD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</w:pPr>
                  <w:r w:rsidRPr="00B205CD">
                    <w:rPr>
                      <w:rFonts w:ascii="Times New Roman" w:eastAsia="仿宋_GB2312" w:hAnsi="Times New Roman"/>
                      <w:b/>
                      <w:sz w:val="28"/>
                      <w:szCs w:val="28"/>
                    </w:rPr>
                    <w:t>合计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中国冷鲜鸡肉市场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中国冷冻鸡肉市场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中国鸡肉制品市场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中国冷冻牛肉市场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lastRenderedPageBreak/>
                    <w:t>中国冷冻猪肉市场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无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无</w:t>
                  </w:r>
                </w:p>
              </w:tc>
            </w:tr>
            <w:tr w:rsidR="007A6E43" w:rsidRPr="00CF13DB" w:rsidTr="007A6E43">
              <w:tc>
                <w:tcPr>
                  <w:tcW w:w="1249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中国猪肉制品市场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无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[0-5]%</w:t>
                  </w:r>
                </w:p>
              </w:tc>
              <w:tc>
                <w:tcPr>
                  <w:tcW w:w="1250" w:type="pct"/>
                  <w:shd w:val="clear" w:color="auto" w:fill="auto"/>
                  <w:vAlign w:val="center"/>
                </w:tcPr>
                <w:p w:rsidR="007A6E43" w:rsidRPr="00CF13DB" w:rsidRDefault="007A6E43" w:rsidP="00B205CD">
                  <w:pPr>
                    <w:jc w:val="center"/>
                    <w:rPr>
                      <w:rFonts w:ascii="Times New Roman" w:eastAsia="仿宋_GB2312" w:hAnsi="Times New Roman"/>
                      <w:sz w:val="28"/>
                      <w:szCs w:val="28"/>
                    </w:rPr>
                  </w:pPr>
                  <w:r w:rsidRPr="00CF13DB">
                    <w:rPr>
                      <w:rFonts w:ascii="Times New Roman" w:eastAsia="仿宋_GB2312" w:hAnsi="Times New Roman"/>
                      <w:sz w:val="28"/>
                      <w:szCs w:val="28"/>
                    </w:rPr>
                    <w:t>无</w:t>
                  </w:r>
                </w:p>
              </w:tc>
            </w:tr>
          </w:tbl>
          <w:p w:rsidR="007A6E43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5F167B" w:rsidRPr="007A6E43" w:rsidRDefault="005F167B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7A6E43">
        <w:rPr>
          <w:rFonts w:ascii="Times New Roman" w:eastAsia="楷体_GB2312" w:hAnsi="Times New Roman"/>
          <w:sz w:val="24"/>
          <w:szCs w:val="24"/>
        </w:rPr>
        <w:t>注解：</w:t>
      </w:r>
    </w:p>
    <w:p w:rsidR="005F167B" w:rsidRPr="007A6E43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7A6E43">
        <w:rPr>
          <w:rFonts w:ascii="Times New Roman" w:eastAsia="楷体_GB2312" w:hAnsi="Times New Roman"/>
          <w:sz w:val="24"/>
          <w:szCs w:val="24"/>
        </w:rPr>
        <w:t>1</w:t>
      </w:r>
      <w:r w:rsidRPr="007A6E43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7A6E43">
        <w:rPr>
          <w:rFonts w:ascii="Times New Roman" w:eastAsia="楷体_GB2312" w:hAnsi="Times New Roman"/>
          <w:sz w:val="24"/>
          <w:szCs w:val="24"/>
        </w:rPr>
        <w:t>1-3</w:t>
      </w:r>
      <w:r w:rsidRPr="007A6E43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A6E43">
        <w:rPr>
          <w:rFonts w:ascii="Times New Roman" w:eastAsia="楷体_GB2312" w:hAnsi="Times New Roman"/>
          <w:sz w:val="24"/>
          <w:szCs w:val="24"/>
        </w:rPr>
        <w:t>5%</w:t>
      </w:r>
      <w:r w:rsidRPr="007A6E43">
        <w:rPr>
          <w:rFonts w:ascii="Times New Roman" w:eastAsia="楷体_GB2312" w:hAnsi="Times New Roman"/>
          <w:sz w:val="24"/>
          <w:szCs w:val="24"/>
        </w:rPr>
        <w:t>。</w:t>
      </w:r>
      <w:r w:rsidRPr="007A6E43">
        <w:rPr>
          <w:rFonts w:ascii="Times New Roman" w:eastAsia="楷体_GB2312" w:hAnsi="Times New Roman"/>
          <w:sz w:val="24"/>
          <w:szCs w:val="24"/>
        </w:rPr>
        <w:t>1-3</w:t>
      </w:r>
      <w:r w:rsidRPr="007A6E43">
        <w:rPr>
          <w:rFonts w:ascii="Times New Roman" w:eastAsia="楷体_GB2312" w:hAnsi="Times New Roman"/>
          <w:sz w:val="24"/>
          <w:szCs w:val="24"/>
        </w:rPr>
        <w:t>项可以多选，也可单选；没有勾选的，视为本集中不涉及该类型交易。</w:t>
      </w:r>
    </w:p>
    <w:p w:rsidR="00094095" w:rsidRPr="007A6E43" w:rsidRDefault="005F167B" w:rsidP="00BB2377">
      <w:pPr>
        <w:spacing w:line="360" w:lineRule="auto"/>
        <w:ind w:firstLineChars="200" w:firstLine="480"/>
        <w:rPr>
          <w:rFonts w:ascii="Times New Roman" w:eastAsia="楷体_GB2312" w:hAnsi="Times New Roman"/>
          <w:sz w:val="28"/>
          <w:szCs w:val="28"/>
        </w:rPr>
      </w:pPr>
      <w:r w:rsidRPr="007A6E43">
        <w:rPr>
          <w:rFonts w:ascii="Times New Roman" w:eastAsia="楷体_GB2312" w:hAnsi="Times New Roman"/>
          <w:sz w:val="24"/>
          <w:szCs w:val="24"/>
        </w:rPr>
        <w:t>2</w:t>
      </w:r>
      <w:r w:rsidRPr="007A6E43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7A6E43">
        <w:rPr>
          <w:rFonts w:ascii="Times New Roman" w:eastAsia="楷体_GB2312" w:hAnsi="Times New Roman"/>
          <w:sz w:val="24"/>
          <w:szCs w:val="24"/>
        </w:rPr>
        <w:t>4</w:t>
      </w:r>
      <w:r w:rsidRPr="007A6E43">
        <w:rPr>
          <w:rFonts w:ascii="Times New Roman" w:eastAsia="楷体_GB2312" w:hAnsi="Times New Roman"/>
          <w:sz w:val="24"/>
          <w:szCs w:val="24"/>
        </w:rPr>
        <w:t>项、第</w:t>
      </w:r>
      <w:r w:rsidRPr="007A6E43">
        <w:rPr>
          <w:rFonts w:ascii="Times New Roman" w:eastAsia="楷体_GB2312" w:hAnsi="Times New Roman"/>
          <w:sz w:val="24"/>
          <w:szCs w:val="24"/>
        </w:rPr>
        <w:t>5</w:t>
      </w:r>
      <w:r w:rsidRPr="007A6E43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7A6E43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7A6E43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7A6E43">
        <w:rPr>
          <w:rFonts w:ascii="Times New Roman" w:eastAsia="楷体_GB2312" w:hAnsi="Times New Roman"/>
          <w:sz w:val="24"/>
          <w:szCs w:val="24"/>
        </w:rPr>
        <w:t>1</w:t>
      </w:r>
      <w:r w:rsidRPr="007A6E43">
        <w:rPr>
          <w:rFonts w:ascii="Times New Roman" w:eastAsia="楷体_GB2312" w:hAnsi="Times New Roman"/>
          <w:sz w:val="24"/>
          <w:szCs w:val="24"/>
        </w:rPr>
        <w:t>项和第</w:t>
      </w:r>
      <w:r w:rsidRPr="007A6E43">
        <w:rPr>
          <w:rFonts w:ascii="Times New Roman" w:eastAsia="楷体_GB2312" w:hAnsi="Times New Roman"/>
          <w:sz w:val="24"/>
          <w:szCs w:val="24"/>
        </w:rPr>
        <w:t>6</w:t>
      </w:r>
      <w:r w:rsidRPr="007A6E43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A6E43">
        <w:rPr>
          <w:rFonts w:ascii="Times New Roman" w:eastAsia="楷体_GB2312" w:hAnsi="Times New Roman"/>
          <w:sz w:val="24"/>
          <w:szCs w:val="24"/>
        </w:rPr>
        <w:t>5%</w:t>
      </w:r>
      <w:r w:rsidRPr="007A6E43">
        <w:rPr>
          <w:rFonts w:ascii="Times New Roman" w:eastAsia="楷体_GB2312" w:hAnsi="Times New Roman"/>
          <w:sz w:val="24"/>
          <w:szCs w:val="24"/>
        </w:rPr>
        <w:t>。</w:t>
      </w: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FA1" w:rsidRDefault="007B0FA1" w:rsidP="00094095">
      <w:r>
        <w:separator/>
      </w:r>
    </w:p>
  </w:endnote>
  <w:endnote w:type="continuationSeparator" w:id="0">
    <w:p w:rsidR="007B0FA1" w:rsidRDefault="007B0FA1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FA1" w:rsidRDefault="007B0FA1" w:rsidP="00094095">
      <w:r>
        <w:separator/>
      </w:r>
    </w:p>
  </w:footnote>
  <w:footnote w:type="continuationSeparator" w:id="0">
    <w:p w:rsidR="007B0FA1" w:rsidRDefault="007B0FA1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20710D"/>
    <w:rsid w:val="00245776"/>
    <w:rsid w:val="002F2D60"/>
    <w:rsid w:val="00307976"/>
    <w:rsid w:val="003F7F2C"/>
    <w:rsid w:val="00462174"/>
    <w:rsid w:val="004D63C1"/>
    <w:rsid w:val="004F3BF8"/>
    <w:rsid w:val="005F167B"/>
    <w:rsid w:val="007A6E43"/>
    <w:rsid w:val="007B0FA1"/>
    <w:rsid w:val="008E5D22"/>
    <w:rsid w:val="00937CFD"/>
    <w:rsid w:val="00B205CD"/>
    <w:rsid w:val="00BA0750"/>
    <w:rsid w:val="00BB2377"/>
    <w:rsid w:val="00C9068E"/>
    <w:rsid w:val="00C96B80"/>
    <w:rsid w:val="00CF13DB"/>
    <w:rsid w:val="00D21777"/>
    <w:rsid w:val="00E81B19"/>
    <w:rsid w:val="00ED21B1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F7FE4-3E1E-422B-AAA5-4E69E824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JH</cp:lastModifiedBy>
  <cp:revision>6</cp:revision>
  <cp:lastPrinted>2014-10-08T02:48:00Z</cp:lastPrinted>
  <dcterms:created xsi:type="dcterms:W3CDTF">2018-09-29T00:07:00Z</dcterms:created>
  <dcterms:modified xsi:type="dcterms:W3CDTF">2018-09-29T01:15:00Z</dcterms:modified>
</cp:coreProperties>
</file>