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3067E1" w:rsidRDefault="00094095" w:rsidP="00094095">
      <w:pPr>
        <w:spacing w:line="480" w:lineRule="exact"/>
        <w:rPr>
          <w:rFonts w:asciiTheme="minorEastAsia" w:eastAsiaTheme="minorEastAsia" w:hAnsiTheme="minorEastAsia"/>
          <w:sz w:val="28"/>
          <w:szCs w:val="28"/>
        </w:rPr>
      </w:pPr>
      <w:r w:rsidRPr="003067E1">
        <w:rPr>
          <w:rFonts w:asciiTheme="minorEastAsia" w:eastAsiaTheme="minorEastAsia" w:hAnsiTheme="minorEastAsia" w:hint="eastAsia"/>
          <w:sz w:val="28"/>
          <w:szCs w:val="28"/>
        </w:rPr>
        <w:t>附件二、</w:t>
      </w:r>
    </w:p>
    <w:p w:rsidR="00094095" w:rsidRDefault="00094095" w:rsidP="00CE1E41">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1D59B6" w:rsidRPr="00CE1E41" w:rsidRDefault="001D59B6" w:rsidP="00CE1E41">
      <w:pPr>
        <w:spacing w:line="440" w:lineRule="exact"/>
        <w:jc w:val="center"/>
        <w:rPr>
          <w:rFonts w:ascii="黑体" w:eastAsia="黑体" w:hAnsi="Times New Roman"/>
          <w:sz w:val="30"/>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2559"/>
        <w:gridCol w:w="5087"/>
      </w:tblGrid>
      <w:tr w:rsidR="00094095" w:rsidRPr="003067E1" w:rsidTr="00AE5177">
        <w:tc>
          <w:tcPr>
            <w:tcW w:w="1112" w:type="dxa"/>
            <w:shd w:val="clear" w:color="auto" w:fill="D9D9D9"/>
          </w:tcPr>
          <w:p w:rsidR="00094095" w:rsidRPr="003067E1" w:rsidRDefault="00094095" w:rsidP="002F2D60">
            <w:pPr>
              <w:spacing w:line="500" w:lineRule="exact"/>
              <w:rPr>
                <w:rFonts w:ascii="Times New Roman" w:eastAsiaTheme="minorEastAsia" w:hAnsi="Times New Roman"/>
                <w:sz w:val="24"/>
                <w:szCs w:val="24"/>
              </w:rPr>
            </w:pPr>
            <w:r w:rsidRPr="003067E1">
              <w:rPr>
                <w:rFonts w:ascii="Times New Roman" w:eastAsiaTheme="minorEastAsia" w:hAnsiTheme="minorEastAsia"/>
                <w:sz w:val="24"/>
                <w:szCs w:val="24"/>
              </w:rPr>
              <w:t>案件名称</w:t>
            </w:r>
          </w:p>
        </w:tc>
        <w:tc>
          <w:tcPr>
            <w:tcW w:w="7646" w:type="dxa"/>
            <w:gridSpan w:val="2"/>
          </w:tcPr>
          <w:p w:rsidR="00094095" w:rsidRPr="003067E1" w:rsidRDefault="00AE5177" w:rsidP="002F2D60">
            <w:pPr>
              <w:spacing w:line="500" w:lineRule="exact"/>
              <w:rPr>
                <w:rFonts w:ascii="Times New Roman" w:eastAsiaTheme="minorEastAsia" w:hAnsi="Times New Roman"/>
                <w:sz w:val="24"/>
                <w:szCs w:val="24"/>
              </w:rPr>
            </w:pPr>
            <w:r w:rsidRPr="00AE5177">
              <w:rPr>
                <w:rFonts w:ascii="Times New Roman" w:eastAsiaTheme="minorEastAsia" w:hAnsi="Times New Roman" w:hint="eastAsia"/>
                <w:sz w:val="24"/>
                <w:szCs w:val="24"/>
              </w:rPr>
              <w:t>东科克诺尔商用车制动技术有限公司收购东风汽车传动轴有限公司部分业务案</w:t>
            </w:r>
          </w:p>
        </w:tc>
      </w:tr>
      <w:tr w:rsidR="00094095" w:rsidRPr="003067E1" w:rsidTr="00AE5177">
        <w:trPr>
          <w:trHeight w:val="993"/>
        </w:trPr>
        <w:tc>
          <w:tcPr>
            <w:tcW w:w="1112" w:type="dxa"/>
            <w:shd w:val="clear" w:color="auto" w:fill="D9D9D9"/>
          </w:tcPr>
          <w:p w:rsidR="00094095" w:rsidRPr="003067E1" w:rsidRDefault="00094095" w:rsidP="002F2D60">
            <w:pPr>
              <w:spacing w:line="500" w:lineRule="exact"/>
              <w:rPr>
                <w:rFonts w:ascii="Times New Roman" w:eastAsiaTheme="minorEastAsia" w:hAnsi="Times New Roman"/>
                <w:sz w:val="24"/>
                <w:szCs w:val="24"/>
              </w:rPr>
            </w:pPr>
            <w:r w:rsidRPr="003067E1">
              <w:rPr>
                <w:rFonts w:ascii="Times New Roman" w:eastAsiaTheme="minorEastAsia" w:hAnsiTheme="minorEastAsia"/>
                <w:sz w:val="24"/>
                <w:szCs w:val="24"/>
              </w:rPr>
              <w:t>交易概况（限</w:t>
            </w:r>
            <w:r w:rsidRPr="003067E1">
              <w:rPr>
                <w:rFonts w:ascii="Times New Roman" w:eastAsiaTheme="minorEastAsia" w:hAnsi="Times New Roman"/>
                <w:sz w:val="24"/>
                <w:szCs w:val="24"/>
              </w:rPr>
              <w:t>200</w:t>
            </w:r>
            <w:r w:rsidRPr="003067E1">
              <w:rPr>
                <w:rFonts w:ascii="Times New Roman" w:eastAsiaTheme="minorEastAsia" w:hAnsiTheme="minorEastAsia"/>
                <w:sz w:val="24"/>
                <w:szCs w:val="24"/>
              </w:rPr>
              <w:t>字内）</w:t>
            </w:r>
          </w:p>
        </w:tc>
        <w:tc>
          <w:tcPr>
            <w:tcW w:w="7646" w:type="dxa"/>
            <w:gridSpan w:val="2"/>
          </w:tcPr>
          <w:p w:rsidR="00094095" w:rsidRPr="003067E1" w:rsidRDefault="00AE5177" w:rsidP="008621E6">
            <w:pPr>
              <w:spacing w:line="500" w:lineRule="exact"/>
              <w:rPr>
                <w:rFonts w:ascii="Times New Roman" w:eastAsiaTheme="minorEastAsia" w:hAnsi="Times New Roman" w:hint="eastAsia"/>
                <w:sz w:val="24"/>
                <w:szCs w:val="24"/>
              </w:rPr>
            </w:pPr>
            <w:r w:rsidRPr="00AE5177">
              <w:rPr>
                <w:rFonts w:ascii="Times New Roman" w:eastAsiaTheme="minorEastAsia" w:hAnsi="Times New Roman" w:hint="eastAsia"/>
                <w:sz w:val="24"/>
                <w:szCs w:val="24"/>
              </w:rPr>
              <w:t>东科克诺尔商用车制动技术有限公司</w:t>
            </w:r>
            <w:r>
              <w:rPr>
                <w:rFonts w:ascii="Times New Roman" w:eastAsiaTheme="minorEastAsia" w:hAnsi="Times New Roman" w:hint="eastAsia"/>
                <w:sz w:val="24"/>
                <w:szCs w:val="24"/>
              </w:rPr>
              <w:t>拟</w:t>
            </w:r>
            <w:r w:rsidRPr="00AE5177">
              <w:rPr>
                <w:rFonts w:ascii="Times New Roman" w:eastAsiaTheme="minorEastAsia" w:hAnsi="Times New Roman" w:hint="eastAsia"/>
                <w:sz w:val="24"/>
                <w:szCs w:val="24"/>
              </w:rPr>
              <w:t>收购东风汽车传动轴有限公司</w:t>
            </w:r>
            <w:r>
              <w:rPr>
                <w:rFonts w:ascii="Times New Roman" w:eastAsiaTheme="minorEastAsia" w:hAnsi="Times New Roman" w:hint="eastAsia"/>
                <w:sz w:val="24"/>
                <w:szCs w:val="24"/>
              </w:rPr>
              <w:t>的</w:t>
            </w:r>
            <w:r>
              <w:rPr>
                <w:rFonts w:ascii="Times New Roman" w:eastAsiaTheme="minorEastAsia" w:hAnsi="Times New Roman"/>
                <w:sz w:val="24"/>
                <w:szCs w:val="24"/>
              </w:rPr>
              <w:t>转向业务</w:t>
            </w:r>
            <w:r w:rsidR="00963A2A">
              <w:rPr>
                <w:rFonts w:ascii="Times New Roman" w:eastAsiaTheme="minorEastAsia" w:hAnsi="Times New Roman" w:hint="eastAsia"/>
                <w:sz w:val="24"/>
                <w:szCs w:val="24"/>
              </w:rPr>
              <w:t>，包括</w:t>
            </w:r>
            <w:r w:rsidR="00963A2A" w:rsidRPr="00963A2A">
              <w:rPr>
                <w:rFonts w:ascii="Times New Roman" w:eastAsiaTheme="minorEastAsia" w:hAnsi="Times New Roman" w:hint="eastAsia"/>
                <w:sz w:val="24"/>
                <w:szCs w:val="24"/>
              </w:rPr>
              <w:t>与转向业务相关的机械设备、存货</w:t>
            </w:r>
            <w:r w:rsidR="00963A2A">
              <w:rPr>
                <w:rFonts w:ascii="Times New Roman" w:eastAsiaTheme="minorEastAsia" w:hAnsi="Times New Roman" w:hint="eastAsia"/>
                <w:sz w:val="24"/>
                <w:szCs w:val="24"/>
              </w:rPr>
              <w:t>以及</w:t>
            </w:r>
            <w:r w:rsidR="00963A2A">
              <w:rPr>
                <w:rFonts w:ascii="Times New Roman" w:eastAsiaTheme="minorEastAsia" w:hAnsi="Times New Roman"/>
                <w:sz w:val="24"/>
                <w:szCs w:val="24"/>
              </w:rPr>
              <w:t>客户关系。</w:t>
            </w:r>
            <w:bookmarkStart w:id="0" w:name="_GoBack"/>
            <w:bookmarkEnd w:id="0"/>
            <w:r w:rsidR="00963A2A">
              <w:rPr>
                <w:rFonts w:ascii="Times New Roman" w:eastAsiaTheme="minorEastAsia" w:hAnsi="Times New Roman"/>
                <w:sz w:val="24"/>
                <w:szCs w:val="24"/>
              </w:rPr>
              <w:t>收购完成后，</w:t>
            </w:r>
            <w:r w:rsidR="00963A2A" w:rsidRPr="00AE5177">
              <w:rPr>
                <w:rFonts w:ascii="Times New Roman" w:eastAsiaTheme="minorEastAsia" w:hAnsi="Times New Roman" w:hint="eastAsia"/>
                <w:sz w:val="24"/>
                <w:szCs w:val="24"/>
              </w:rPr>
              <w:t>东风汽车传动轴有限公司</w:t>
            </w:r>
            <w:r w:rsidR="00963A2A">
              <w:rPr>
                <w:rFonts w:ascii="Times New Roman" w:eastAsiaTheme="minorEastAsia" w:hAnsi="Times New Roman" w:hint="eastAsia"/>
                <w:sz w:val="24"/>
                <w:szCs w:val="24"/>
              </w:rPr>
              <w:t>不再从事</w:t>
            </w:r>
            <w:r w:rsidR="00963A2A">
              <w:rPr>
                <w:rFonts w:ascii="Times New Roman" w:eastAsiaTheme="minorEastAsia" w:hAnsi="Times New Roman"/>
                <w:sz w:val="24"/>
                <w:szCs w:val="24"/>
              </w:rPr>
              <w:t>转向业务。</w:t>
            </w:r>
          </w:p>
        </w:tc>
      </w:tr>
      <w:tr w:rsidR="008621E6" w:rsidRPr="003067E1" w:rsidTr="00AE5177">
        <w:trPr>
          <w:trHeight w:val="468"/>
        </w:trPr>
        <w:tc>
          <w:tcPr>
            <w:tcW w:w="1112" w:type="dxa"/>
            <w:vMerge w:val="restart"/>
            <w:shd w:val="clear" w:color="auto" w:fill="D9D9D9"/>
          </w:tcPr>
          <w:p w:rsidR="008621E6" w:rsidRPr="003067E1" w:rsidRDefault="008621E6" w:rsidP="002F2D60">
            <w:pPr>
              <w:spacing w:line="500" w:lineRule="exact"/>
              <w:rPr>
                <w:rFonts w:ascii="Times New Roman" w:eastAsiaTheme="minorEastAsia" w:hAnsi="Times New Roman"/>
                <w:sz w:val="24"/>
                <w:szCs w:val="24"/>
              </w:rPr>
            </w:pPr>
            <w:r w:rsidRPr="003067E1">
              <w:rPr>
                <w:rFonts w:ascii="Times New Roman" w:eastAsiaTheme="minorEastAsia" w:hAnsiTheme="minorEastAsia"/>
                <w:sz w:val="24"/>
                <w:szCs w:val="24"/>
              </w:rPr>
              <w:t>参与集中的经营者简介</w:t>
            </w:r>
          </w:p>
        </w:tc>
        <w:tc>
          <w:tcPr>
            <w:tcW w:w="2559" w:type="dxa"/>
          </w:tcPr>
          <w:p w:rsidR="008621E6" w:rsidRPr="003067E1" w:rsidRDefault="008621E6" w:rsidP="00590ABB">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1</w:t>
            </w:r>
            <w:r w:rsidRPr="003067E1">
              <w:rPr>
                <w:rFonts w:ascii="Times New Roman" w:eastAsiaTheme="minorEastAsia" w:hAnsiTheme="minorEastAsia"/>
                <w:sz w:val="24"/>
                <w:szCs w:val="24"/>
              </w:rPr>
              <w:t>、</w:t>
            </w:r>
            <w:r w:rsidR="00AE5177" w:rsidRPr="00AE5177">
              <w:rPr>
                <w:rFonts w:ascii="Times New Roman" w:eastAsiaTheme="minorEastAsia" w:hAnsi="Times New Roman" w:hint="eastAsia"/>
                <w:sz w:val="24"/>
                <w:szCs w:val="24"/>
              </w:rPr>
              <w:t>东科克诺尔商用车制动技术有限公司</w:t>
            </w:r>
          </w:p>
        </w:tc>
        <w:tc>
          <w:tcPr>
            <w:tcW w:w="5087" w:type="dxa"/>
          </w:tcPr>
          <w:p w:rsidR="008621E6" w:rsidRPr="003067E1" w:rsidRDefault="00AE5177" w:rsidP="008621E6">
            <w:pPr>
              <w:spacing w:line="500" w:lineRule="exact"/>
              <w:rPr>
                <w:rFonts w:ascii="Times New Roman" w:eastAsiaTheme="minorEastAsia" w:hAnsi="Times New Roman"/>
                <w:sz w:val="24"/>
                <w:szCs w:val="24"/>
              </w:rPr>
            </w:pPr>
            <w:r w:rsidRPr="00AE5177">
              <w:rPr>
                <w:rFonts w:ascii="Times New Roman" w:eastAsiaTheme="minorEastAsia" w:hAnsi="Times New Roman" w:hint="eastAsia"/>
                <w:sz w:val="24"/>
                <w:szCs w:val="24"/>
              </w:rPr>
              <w:t>东科克诺尔商用车制动技术有限公司</w:t>
            </w:r>
            <w:r>
              <w:rPr>
                <w:rFonts w:ascii="Times New Roman" w:eastAsiaTheme="minorEastAsia" w:hAnsi="Times New Roman" w:hint="eastAsia"/>
                <w:sz w:val="24"/>
                <w:szCs w:val="24"/>
              </w:rPr>
              <w:t>系</w:t>
            </w:r>
            <w:r w:rsidRPr="00AE5177">
              <w:rPr>
                <w:rFonts w:ascii="Times New Roman" w:eastAsiaTheme="minorEastAsia" w:hAnsi="Times New Roman" w:hint="eastAsia"/>
                <w:sz w:val="24"/>
                <w:szCs w:val="24"/>
              </w:rPr>
              <w:t>克诺尔制动系统亚太（控股）有限公司</w:t>
            </w:r>
            <w:r>
              <w:rPr>
                <w:rFonts w:ascii="Times New Roman" w:eastAsiaTheme="minorEastAsia" w:hAnsi="Times New Roman" w:hint="eastAsia"/>
                <w:sz w:val="24"/>
                <w:szCs w:val="24"/>
              </w:rPr>
              <w:t>与</w:t>
            </w:r>
            <w:r w:rsidRPr="00AE5177">
              <w:rPr>
                <w:rFonts w:ascii="Times New Roman" w:eastAsiaTheme="minorEastAsia" w:hAnsi="Times New Roman" w:hint="eastAsia"/>
                <w:sz w:val="24"/>
                <w:szCs w:val="24"/>
              </w:rPr>
              <w:t>东风电子科技股份有限公司</w:t>
            </w:r>
            <w:r>
              <w:rPr>
                <w:rFonts w:ascii="Times New Roman" w:eastAsiaTheme="minorEastAsia" w:hAnsi="Times New Roman" w:hint="eastAsia"/>
                <w:sz w:val="24"/>
                <w:szCs w:val="24"/>
              </w:rPr>
              <w:t>共同</w:t>
            </w:r>
            <w:r>
              <w:rPr>
                <w:rFonts w:ascii="Times New Roman" w:eastAsiaTheme="minorEastAsia" w:hAnsi="Times New Roman"/>
                <w:sz w:val="24"/>
                <w:szCs w:val="24"/>
              </w:rPr>
              <w:t>设立的</w:t>
            </w:r>
            <w:r>
              <w:rPr>
                <w:rFonts w:ascii="Times New Roman" w:eastAsiaTheme="minorEastAsia" w:hAnsi="Times New Roman" w:hint="eastAsia"/>
                <w:sz w:val="24"/>
                <w:szCs w:val="24"/>
              </w:rPr>
              <w:t>中外</w:t>
            </w:r>
            <w:r>
              <w:rPr>
                <w:rFonts w:ascii="Times New Roman" w:eastAsiaTheme="minorEastAsia" w:hAnsi="Times New Roman"/>
                <w:sz w:val="24"/>
                <w:szCs w:val="24"/>
              </w:rPr>
              <w:t>合资经营企业，</w:t>
            </w:r>
            <w:r>
              <w:rPr>
                <w:rFonts w:ascii="Times New Roman" w:eastAsiaTheme="minorEastAsia" w:hAnsi="Times New Roman" w:hint="eastAsia"/>
                <w:sz w:val="24"/>
                <w:szCs w:val="24"/>
              </w:rPr>
              <w:t>从</w:t>
            </w:r>
            <w:r>
              <w:rPr>
                <w:rFonts w:ascii="Times New Roman" w:eastAsiaTheme="minorEastAsia" w:hAnsiTheme="minorEastAsia" w:hint="eastAsia"/>
                <w:sz w:val="24"/>
                <w:szCs w:val="24"/>
              </w:rPr>
              <w:t>事商用车制动产品及相关零部件应用开发、生产、组装等</w:t>
            </w:r>
            <w:r w:rsidRPr="00AE5177">
              <w:rPr>
                <w:rFonts w:ascii="Times New Roman" w:eastAsiaTheme="minorEastAsia" w:hAnsiTheme="minorEastAsia" w:hint="eastAsia"/>
                <w:sz w:val="24"/>
                <w:szCs w:val="24"/>
              </w:rPr>
              <w:t>。</w:t>
            </w:r>
          </w:p>
        </w:tc>
      </w:tr>
      <w:tr w:rsidR="008621E6" w:rsidRPr="001D59B6" w:rsidTr="00AE5177">
        <w:trPr>
          <w:trHeight w:val="1511"/>
        </w:trPr>
        <w:tc>
          <w:tcPr>
            <w:tcW w:w="1112" w:type="dxa"/>
            <w:vMerge/>
            <w:shd w:val="clear" w:color="auto" w:fill="D9D9D9"/>
          </w:tcPr>
          <w:p w:rsidR="008621E6" w:rsidRPr="003067E1" w:rsidRDefault="008621E6" w:rsidP="002F2D60">
            <w:pPr>
              <w:spacing w:line="500" w:lineRule="exact"/>
              <w:rPr>
                <w:rFonts w:ascii="Times New Roman" w:eastAsiaTheme="minorEastAsia" w:hAnsi="Times New Roman"/>
                <w:sz w:val="24"/>
                <w:szCs w:val="24"/>
              </w:rPr>
            </w:pPr>
          </w:p>
        </w:tc>
        <w:tc>
          <w:tcPr>
            <w:tcW w:w="2559" w:type="dxa"/>
          </w:tcPr>
          <w:p w:rsidR="008621E6" w:rsidRPr="003067E1" w:rsidRDefault="008621E6" w:rsidP="00590ABB">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2</w:t>
            </w:r>
            <w:r w:rsidRPr="003067E1">
              <w:rPr>
                <w:rFonts w:ascii="Times New Roman" w:eastAsiaTheme="minorEastAsia" w:hAnsiTheme="minorEastAsia"/>
                <w:sz w:val="24"/>
                <w:szCs w:val="24"/>
              </w:rPr>
              <w:t>、</w:t>
            </w:r>
            <w:r w:rsidR="00AE5177" w:rsidRPr="00AE5177">
              <w:rPr>
                <w:rFonts w:ascii="Times New Roman" w:eastAsiaTheme="minorEastAsia" w:hAnsiTheme="minorEastAsia" w:hint="eastAsia"/>
                <w:sz w:val="24"/>
                <w:szCs w:val="24"/>
              </w:rPr>
              <w:t>东风</w:t>
            </w:r>
            <w:r w:rsidR="00AE5177" w:rsidRPr="00AE5177">
              <w:rPr>
                <w:rFonts w:ascii="Times New Roman" w:eastAsiaTheme="minorEastAsia" w:hAnsiTheme="minorEastAsia" w:hint="eastAsia"/>
                <w:sz w:val="24"/>
                <w:szCs w:val="24"/>
              </w:rPr>
              <w:t>汽车</w:t>
            </w:r>
            <w:r w:rsidR="00AE5177" w:rsidRPr="00AE5177">
              <w:rPr>
                <w:rFonts w:ascii="Times New Roman" w:eastAsiaTheme="minorEastAsia" w:hAnsiTheme="minorEastAsia" w:hint="eastAsia"/>
                <w:sz w:val="24"/>
                <w:szCs w:val="24"/>
              </w:rPr>
              <w:t>传动轴有限公司的全部转向业务</w:t>
            </w:r>
          </w:p>
        </w:tc>
        <w:tc>
          <w:tcPr>
            <w:tcW w:w="5087" w:type="dxa"/>
          </w:tcPr>
          <w:p w:rsidR="008621E6" w:rsidRPr="001D59B6" w:rsidRDefault="00AE5177" w:rsidP="001D59B6">
            <w:pPr>
              <w:spacing w:line="500" w:lineRule="exact"/>
              <w:rPr>
                <w:rFonts w:ascii="Times New Roman" w:eastAsiaTheme="minorEastAsia" w:hAnsiTheme="minorEastAsia"/>
                <w:sz w:val="24"/>
                <w:szCs w:val="24"/>
              </w:rPr>
            </w:pPr>
            <w:r w:rsidRPr="00AE5177">
              <w:rPr>
                <w:rFonts w:ascii="Times New Roman" w:eastAsiaTheme="minorEastAsia" w:hAnsiTheme="minorEastAsia" w:hint="eastAsia"/>
                <w:sz w:val="24"/>
                <w:szCs w:val="24"/>
              </w:rPr>
              <w:t>东风</w:t>
            </w:r>
            <w:r w:rsidRPr="00AE5177">
              <w:rPr>
                <w:rFonts w:ascii="Times New Roman" w:eastAsiaTheme="minorEastAsia" w:hAnsiTheme="minorEastAsia" w:hint="eastAsia"/>
                <w:sz w:val="24"/>
                <w:szCs w:val="24"/>
              </w:rPr>
              <w:t>汽车</w:t>
            </w:r>
            <w:r w:rsidRPr="00AE5177">
              <w:rPr>
                <w:rFonts w:ascii="Times New Roman" w:eastAsiaTheme="minorEastAsia" w:hAnsiTheme="minorEastAsia" w:hint="eastAsia"/>
                <w:sz w:val="24"/>
                <w:szCs w:val="24"/>
              </w:rPr>
              <w:t>传动轴</w:t>
            </w:r>
            <w:r w:rsidRPr="00AE5177">
              <w:rPr>
                <w:rFonts w:ascii="Times New Roman" w:eastAsiaTheme="minorEastAsia" w:hAnsiTheme="minorEastAsia" w:hint="eastAsia"/>
                <w:sz w:val="24"/>
                <w:szCs w:val="24"/>
              </w:rPr>
              <w:t>有限</w:t>
            </w:r>
            <w:r w:rsidRPr="00AE5177">
              <w:rPr>
                <w:rFonts w:ascii="Times New Roman" w:eastAsiaTheme="minorEastAsia" w:hAnsiTheme="minorEastAsia" w:hint="eastAsia"/>
                <w:sz w:val="24"/>
                <w:szCs w:val="24"/>
              </w:rPr>
              <w:t>公司前身是</w:t>
            </w:r>
            <w:r w:rsidRPr="00AE5177">
              <w:rPr>
                <w:rFonts w:ascii="Times New Roman" w:eastAsiaTheme="minorEastAsia" w:hAnsiTheme="minorEastAsia" w:hint="eastAsia"/>
                <w:sz w:val="24"/>
                <w:szCs w:val="24"/>
              </w:rPr>
              <w:t>1969</w:t>
            </w:r>
            <w:r w:rsidRPr="00AE5177">
              <w:rPr>
                <w:rFonts w:ascii="Times New Roman" w:eastAsiaTheme="minorEastAsia" w:hAnsiTheme="minorEastAsia" w:hint="eastAsia"/>
                <w:sz w:val="24"/>
                <w:szCs w:val="24"/>
              </w:rPr>
              <w:t>年</w:t>
            </w:r>
            <w:r w:rsidRPr="00AE5177">
              <w:rPr>
                <w:rFonts w:ascii="Times New Roman" w:eastAsiaTheme="minorEastAsia" w:hAnsiTheme="minorEastAsia" w:hint="eastAsia"/>
                <w:sz w:val="24"/>
                <w:szCs w:val="24"/>
              </w:rPr>
              <w:t>10</w:t>
            </w:r>
            <w:r w:rsidRPr="00AE5177">
              <w:rPr>
                <w:rFonts w:ascii="Times New Roman" w:eastAsiaTheme="minorEastAsia" w:hAnsiTheme="minorEastAsia" w:hint="eastAsia"/>
                <w:sz w:val="24"/>
                <w:szCs w:val="24"/>
              </w:rPr>
              <w:t>月成立的第二汽车制造厂传动轴厂</w:t>
            </w:r>
            <w:r>
              <w:rPr>
                <w:rFonts w:ascii="Times New Roman" w:eastAsiaTheme="minorEastAsia" w:hAnsiTheme="minorEastAsia" w:hint="eastAsia"/>
                <w:sz w:val="24"/>
                <w:szCs w:val="24"/>
              </w:rPr>
              <w:t>，从事</w:t>
            </w:r>
            <w:r w:rsidRPr="00AE5177">
              <w:rPr>
                <w:rFonts w:ascii="Times New Roman" w:eastAsiaTheme="minorEastAsia" w:hAnsiTheme="minorEastAsia" w:hint="eastAsia"/>
                <w:sz w:val="24"/>
                <w:szCs w:val="24"/>
              </w:rPr>
              <w:t>制造、销售</w:t>
            </w:r>
            <w:r w:rsidR="00963A2A">
              <w:rPr>
                <w:rFonts w:ascii="Times New Roman" w:eastAsiaTheme="minorEastAsia" w:hAnsiTheme="minorEastAsia" w:hint="eastAsia"/>
                <w:sz w:val="24"/>
                <w:szCs w:val="24"/>
              </w:rPr>
              <w:t>汽车传动系统、转向系统、减震器、离合器及相关零部件、机电产品</w:t>
            </w:r>
            <w:r w:rsidRPr="00AE5177">
              <w:rPr>
                <w:rFonts w:ascii="Times New Roman" w:eastAsiaTheme="minorEastAsia" w:hAnsiTheme="minorEastAsia" w:hint="eastAsia"/>
                <w:sz w:val="24"/>
                <w:szCs w:val="24"/>
              </w:rPr>
              <w:t>。</w:t>
            </w:r>
          </w:p>
        </w:tc>
      </w:tr>
      <w:tr w:rsidR="00094095" w:rsidRPr="003067E1" w:rsidTr="00AE5177">
        <w:trPr>
          <w:trHeight w:val="279"/>
        </w:trPr>
        <w:tc>
          <w:tcPr>
            <w:tcW w:w="1112" w:type="dxa"/>
            <w:vMerge w:val="restart"/>
            <w:shd w:val="clear" w:color="auto" w:fill="D9D9D9"/>
          </w:tcPr>
          <w:p w:rsidR="00094095" w:rsidRPr="003067E1" w:rsidRDefault="00094095" w:rsidP="00BB2377">
            <w:pPr>
              <w:spacing w:line="500" w:lineRule="exact"/>
              <w:rPr>
                <w:rFonts w:ascii="Times New Roman" w:eastAsiaTheme="minorEastAsia" w:hAnsi="Times New Roman"/>
                <w:sz w:val="24"/>
                <w:szCs w:val="24"/>
              </w:rPr>
            </w:pPr>
            <w:r w:rsidRPr="003067E1">
              <w:rPr>
                <w:rFonts w:ascii="Times New Roman" w:eastAsiaTheme="minorEastAsia" w:hAnsiTheme="minorEastAsia"/>
                <w:sz w:val="24"/>
                <w:szCs w:val="24"/>
              </w:rPr>
              <w:t>简易案件理由（</w:t>
            </w:r>
            <w:r w:rsidR="005F167B" w:rsidRPr="003067E1">
              <w:rPr>
                <w:rFonts w:ascii="Times New Roman" w:eastAsiaTheme="minorEastAsia" w:hAnsiTheme="minorEastAsia"/>
                <w:sz w:val="24"/>
                <w:szCs w:val="24"/>
              </w:rPr>
              <w:t>可以单选，也可以多选</w:t>
            </w:r>
            <w:r w:rsidRPr="003067E1">
              <w:rPr>
                <w:rFonts w:ascii="Times New Roman" w:eastAsiaTheme="minorEastAsia" w:hAnsiTheme="minorEastAsia"/>
                <w:sz w:val="24"/>
                <w:szCs w:val="24"/>
              </w:rPr>
              <w:t>）</w:t>
            </w:r>
          </w:p>
        </w:tc>
        <w:tc>
          <w:tcPr>
            <w:tcW w:w="7646" w:type="dxa"/>
            <w:gridSpan w:val="2"/>
          </w:tcPr>
          <w:p w:rsidR="00094095" w:rsidRPr="003067E1" w:rsidRDefault="00963A2A" w:rsidP="002F2D60">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sym w:font="Wingdings" w:char="F0FE"/>
            </w:r>
            <w:r w:rsidR="00094095" w:rsidRPr="003067E1">
              <w:rPr>
                <w:rFonts w:ascii="Times New Roman" w:eastAsiaTheme="minorEastAsia" w:hAnsi="Times New Roman"/>
                <w:sz w:val="24"/>
                <w:szCs w:val="24"/>
              </w:rPr>
              <w:t>1</w:t>
            </w:r>
            <w:r w:rsidR="00094095" w:rsidRPr="003067E1">
              <w:rPr>
                <w:rFonts w:ascii="Times New Roman" w:eastAsiaTheme="minorEastAsia" w:hAnsiTheme="minorEastAsia"/>
                <w:sz w:val="24"/>
                <w:szCs w:val="24"/>
              </w:rPr>
              <w:t>、在同一相关市场，所有参与集中的经营者所占市场份额之和小于</w:t>
            </w:r>
            <w:r w:rsidR="00094095" w:rsidRPr="003067E1">
              <w:rPr>
                <w:rFonts w:ascii="Times New Roman" w:eastAsiaTheme="minorEastAsia" w:hAnsi="Times New Roman"/>
                <w:sz w:val="24"/>
                <w:szCs w:val="24"/>
              </w:rPr>
              <w:t>15%</w:t>
            </w:r>
            <w:r w:rsidR="00094095" w:rsidRPr="003067E1">
              <w:rPr>
                <w:rFonts w:ascii="Times New Roman" w:eastAsiaTheme="minorEastAsia" w:hAnsiTheme="minorEastAsia"/>
                <w:sz w:val="24"/>
                <w:szCs w:val="24"/>
              </w:rPr>
              <w:t>。</w:t>
            </w:r>
          </w:p>
        </w:tc>
      </w:tr>
      <w:tr w:rsidR="00094095" w:rsidRPr="003067E1" w:rsidTr="00AE5177">
        <w:trPr>
          <w:trHeight w:val="330"/>
        </w:trPr>
        <w:tc>
          <w:tcPr>
            <w:tcW w:w="1112" w:type="dxa"/>
            <w:vMerge/>
            <w:shd w:val="clear" w:color="auto" w:fill="D9D9D9"/>
          </w:tcPr>
          <w:p w:rsidR="00094095" w:rsidRPr="003067E1" w:rsidRDefault="00094095" w:rsidP="002F2D60">
            <w:pPr>
              <w:spacing w:line="500" w:lineRule="exact"/>
              <w:rPr>
                <w:rFonts w:ascii="Times New Roman" w:eastAsiaTheme="minorEastAsia" w:hAnsi="Times New Roman"/>
                <w:sz w:val="24"/>
                <w:szCs w:val="24"/>
              </w:rPr>
            </w:pPr>
          </w:p>
        </w:tc>
        <w:tc>
          <w:tcPr>
            <w:tcW w:w="7646" w:type="dxa"/>
            <w:gridSpan w:val="2"/>
          </w:tcPr>
          <w:p w:rsidR="00094095" w:rsidRPr="003067E1" w:rsidRDefault="008E0596" w:rsidP="002F2D60">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w:t>
            </w:r>
            <w:r w:rsidR="00094095" w:rsidRPr="003067E1">
              <w:rPr>
                <w:rFonts w:ascii="Times New Roman" w:eastAsiaTheme="minorEastAsia" w:hAnsi="Times New Roman"/>
                <w:sz w:val="24"/>
                <w:szCs w:val="24"/>
              </w:rPr>
              <w:t>2</w:t>
            </w:r>
            <w:r w:rsidR="00094095" w:rsidRPr="003067E1">
              <w:rPr>
                <w:rFonts w:ascii="Times New Roman" w:eastAsiaTheme="minorEastAsia" w:hAnsiTheme="minorEastAsia"/>
                <w:sz w:val="24"/>
                <w:szCs w:val="24"/>
              </w:rPr>
              <w:t>、存在上下游关系的参与集中的经营者，在上下游市场所占的市场份额均小于</w:t>
            </w:r>
            <w:r w:rsidR="00094095" w:rsidRPr="003067E1">
              <w:rPr>
                <w:rFonts w:ascii="Times New Roman" w:eastAsiaTheme="minorEastAsia" w:hAnsi="Times New Roman"/>
                <w:sz w:val="24"/>
                <w:szCs w:val="24"/>
              </w:rPr>
              <w:t>25%</w:t>
            </w:r>
            <w:r w:rsidR="00094095" w:rsidRPr="003067E1">
              <w:rPr>
                <w:rFonts w:ascii="Times New Roman" w:eastAsiaTheme="minorEastAsia" w:hAnsiTheme="minorEastAsia"/>
                <w:sz w:val="24"/>
                <w:szCs w:val="24"/>
              </w:rPr>
              <w:t>。</w:t>
            </w:r>
          </w:p>
        </w:tc>
      </w:tr>
      <w:tr w:rsidR="00094095" w:rsidRPr="003067E1" w:rsidTr="00AE5177">
        <w:trPr>
          <w:trHeight w:val="285"/>
        </w:trPr>
        <w:tc>
          <w:tcPr>
            <w:tcW w:w="1112" w:type="dxa"/>
            <w:vMerge/>
            <w:shd w:val="clear" w:color="auto" w:fill="D9D9D9"/>
          </w:tcPr>
          <w:p w:rsidR="00094095" w:rsidRPr="003067E1" w:rsidRDefault="00094095" w:rsidP="002F2D60">
            <w:pPr>
              <w:spacing w:line="500" w:lineRule="exact"/>
              <w:rPr>
                <w:rFonts w:ascii="Times New Roman" w:eastAsiaTheme="minorEastAsia" w:hAnsi="Times New Roman"/>
                <w:sz w:val="24"/>
                <w:szCs w:val="24"/>
              </w:rPr>
            </w:pPr>
          </w:p>
        </w:tc>
        <w:tc>
          <w:tcPr>
            <w:tcW w:w="7646" w:type="dxa"/>
            <w:gridSpan w:val="2"/>
          </w:tcPr>
          <w:p w:rsidR="00094095" w:rsidRPr="003067E1" w:rsidRDefault="00963A2A" w:rsidP="002F2D60">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w:t>
            </w:r>
            <w:r w:rsidR="00094095" w:rsidRPr="003067E1">
              <w:rPr>
                <w:rFonts w:ascii="Times New Roman" w:eastAsiaTheme="minorEastAsia" w:hAnsi="Times New Roman"/>
                <w:sz w:val="24"/>
                <w:szCs w:val="24"/>
              </w:rPr>
              <w:t>3</w:t>
            </w:r>
            <w:r w:rsidR="00094095" w:rsidRPr="003067E1">
              <w:rPr>
                <w:rFonts w:ascii="Times New Roman" w:eastAsiaTheme="minorEastAsia" w:hAnsiTheme="minorEastAsia"/>
                <w:sz w:val="24"/>
                <w:szCs w:val="24"/>
              </w:rPr>
              <w:t>、不在同一相关市场、也不存在上下游关系的参与集中的经营者，在与交易有关的每个市场所占的份额均小于</w:t>
            </w:r>
            <w:r w:rsidR="00094095" w:rsidRPr="003067E1">
              <w:rPr>
                <w:rFonts w:ascii="Times New Roman" w:eastAsiaTheme="minorEastAsia" w:hAnsi="Times New Roman"/>
                <w:sz w:val="24"/>
                <w:szCs w:val="24"/>
              </w:rPr>
              <w:t>25%</w:t>
            </w:r>
            <w:r w:rsidR="00094095" w:rsidRPr="003067E1">
              <w:rPr>
                <w:rFonts w:ascii="Times New Roman" w:eastAsiaTheme="minorEastAsia" w:hAnsiTheme="minorEastAsia"/>
                <w:sz w:val="24"/>
                <w:szCs w:val="24"/>
              </w:rPr>
              <w:t>。</w:t>
            </w:r>
          </w:p>
        </w:tc>
      </w:tr>
      <w:tr w:rsidR="00094095" w:rsidRPr="003067E1" w:rsidTr="00AE5177">
        <w:trPr>
          <w:trHeight w:val="870"/>
        </w:trPr>
        <w:tc>
          <w:tcPr>
            <w:tcW w:w="1112" w:type="dxa"/>
            <w:vMerge/>
            <w:shd w:val="clear" w:color="auto" w:fill="D9D9D9"/>
          </w:tcPr>
          <w:p w:rsidR="00094095" w:rsidRPr="003067E1" w:rsidRDefault="00094095" w:rsidP="002F2D60">
            <w:pPr>
              <w:spacing w:line="500" w:lineRule="exact"/>
              <w:rPr>
                <w:rFonts w:ascii="Times New Roman" w:eastAsiaTheme="minorEastAsia" w:hAnsi="Times New Roman"/>
                <w:sz w:val="24"/>
                <w:szCs w:val="24"/>
              </w:rPr>
            </w:pPr>
          </w:p>
        </w:tc>
        <w:tc>
          <w:tcPr>
            <w:tcW w:w="7646" w:type="dxa"/>
            <w:gridSpan w:val="2"/>
          </w:tcPr>
          <w:p w:rsidR="00094095" w:rsidRPr="003067E1" w:rsidRDefault="00094095" w:rsidP="002F2D60">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□4</w:t>
            </w:r>
            <w:r w:rsidRPr="003067E1">
              <w:rPr>
                <w:rFonts w:ascii="Times New Roman" w:eastAsiaTheme="minorEastAsia" w:hAnsiTheme="minorEastAsia"/>
                <w:sz w:val="24"/>
                <w:szCs w:val="24"/>
              </w:rPr>
              <w:t>、参与集中的经营者在中国境外设立合营企业，合营企业不在中国境内从事经济活动。</w:t>
            </w:r>
          </w:p>
        </w:tc>
      </w:tr>
      <w:tr w:rsidR="00094095" w:rsidRPr="003067E1" w:rsidTr="00AE5177">
        <w:trPr>
          <w:trHeight w:val="264"/>
        </w:trPr>
        <w:tc>
          <w:tcPr>
            <w:tcW w:w="1112" w:type="dxa"/>
            <w:vMerge/>
            <w:shd w:val="clear" w:color="auto" w:fill="D9D9D9"/>
          </w:tcPr>
          <w:p w:rsidR="00094095" w:rsidRPr="003067E1" w:rsidRDefault="00094095" w:rsidP="002F2D60">
            <w:pPr>
              <w:spacing w:line="500" w:lineRule="exact"/>
              <w:rPr>
                <w:rFonts w:ascii="Times New Roman" w:eastAsiaTheme="minorEastAsia" w:hAnsi="Times New Roman"/>
                <w:sz w:val="24"/>
                <w:szCs w:val="24"/>
              </w:rPr>
            </w:pPr>
          </w:p>
        </w:tc>
        <w:tc>
          <w:tcPr>
            <w:tcW w:w="7646" w:type="dxa"/>
            <w:gridSpan w:val="2"/>
          </w:tcPr>
          <w:p w:rsidR="00094095" w:rsidRPr="003067E1" w:rsidRDefault="00094095" w:rsidP="002F2D60">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□5</w:t>
            </w:r>
            <w:r w:rsidRPr="003067E1">
              <w:rPr>
                <w:rFonts w:ascii="Times New Roman" w:eastAsiaTheme="minorEastAsia" w:hAnsiTheme="minorEastAsia"/>
                <w:sz w:val="24"/>
                <w:szCs w:val="24"/>
              </w:rPr>
              <w:t>、参与集中的经营者收购境外企业股权或资产的，该境外企业不在中</w:t>
            </w:r>
            <w:r w:rsidRPr="003067E1">
              <w:rPr>
                <w:rFonts w:ascii="Times New Roman" w:eastAsiaTheme="minorEastAsia" w:hAnsiTheme="minorEastAsia"/>
                <w:sz w:val="24"/>
                <w:szCs w:val="24"/>
              </w:rPr>
              <w:lastRenderedPageBreak/>
              <w:t>国境内从事经济活动。</w:t>
            </w:r>
          </w:p>
        </w:tc>
      </w:tr>
      <w:tr w:rsidR="00094095" w:rsidRPr="003067E1" w:rsidTr="00AE5177">
        <w:trPr>
          <w:trHeight w:val="345"/>
        </w:trPr>
        <w:tc>
          <w:tcPr>
            <w:tcW w:w="1112" w:type="dxa"/>
            <w:vMerge/>
            <w:shd w:val="clear" w:color="auto" w:fill="D9D9D9"/>
          </w:tcPr>
          <w:p w:rsidR="00094095" w:rsidRPr="003067E1" w:rsidRDefault="00094095" w:rsidP="002F2D60">
            <w:pPr>
              <w:spacing w:line="500" w:lineRule="exact"/>
              <w:rPr>
                <w:rFonts w:ascii="Times New Roman" w:eastAsiaTheme="minorEastAsia" w:hAnsi="Times New Roman"/>
                <w:sz w:val="24"/>
                <w:szCs w:val="24"/>
              </w:rPr>
            </w:pPr>
          </w:p>
        </w:tc>
        <w:tc>
          <w:tcPr>
            <w:tcW w:w="7646" w:type="dxa"/>
            <w:gridSpan w:val="2"/>
          </w:tcPr>
          <w:p w:rsidR="00094095" w:rsidRPr="003067E1" w:rsidRDefault="00094095" w:rsidP="002F2D60">
            <w:pPr>
              <w:spacing w:line="500" w:lineRule="exact"/>
              <w:rPr>
                <w:rFonts w:ascii="Times New Roman" w:eastAsiaTheme="minorEastAsia" w:hAnsi="Times New Roman"/>
                <w:sz w:val="24"/>
                <w:szCs w:val="24"/>
              </w:rPr>
            </w:pPr>
            <w:r w:rsidRPr="003067E1">
              <w:rPr>
                <w:rFonts w:ascii="Times New Roman" w:eastAsiaTheme="minorEastAsia" w:hAnsi="Times New Roman"/>
                <w:sz w:val="24"/>
                <w:szCs w:val="24"/>
              </w:rPr>
              <w:t>□6</w:t>
            </w:r>
            <w:r w:rsidRPr="003067E1">
              <w:rPr>
                <w:rFonts w:ascii="Times New Roman" w:eastAsiaTheme="minorEastAsia" w:hAnsiTheme="minorEastAsia"/>
                <w:sz w:val="24"/>
                <w:szCs w:val="24"/>
              </w:rPr>
              <w:t>、由两个以上的经营者共同控制的合营企业，通过集中被其中一个或一个以上经营者控制。</w:t>
            </w:r>
          </w:p>
        </w:tc>
      </w:tr>
      <w:tr w:rsidR="00094095" w:rsidRPr="003067E1" w:rsidTr="00AE5177">
        <w:tc>
          <w:tcPr>
            <w:tcW w:w="1112" w:type="dxa"/>
            <w:shd w:val="clear" w:color="auto" w:fill="D9D9D9"/>
          </w:tcPr>
          <w:p w:rsidR="00094095" w:rsidRPr="003067E1" w:rsidRDefault="00094095" w:rsidP="002F2D60">
            <w:pPr>
              <w:spacing w:line="500" w:lineRule="exact"/>
              <w:rPr>
                <w:rFonts w:ascii="Times New Roman" w:eastAsiaTheme="minorEastAsia" w:hAnsi="Times New Roman"/>
                <w:sz w:val="24"/>
                <w:szCs w:val="24"/>
              </w:rPr>
            </w:pPr>
            <w:r w:rsidRPr="003067E1">
              <w:rPr>
                <w:rFonts w:ascii="Times New Roman" w:eastAsiaTheme="minorEastAsia" w:hAnsiTheme="minorEastAsia"/>
                <w:sz w:val="24"/>
                <w:szCs w:val="24"/>
              </w:rPr>
              <w:t>备注</w:t>
            </w:r>
          </w:p>
        </w:tc>
        <w:tc>
          <w:tcPr>
            <w:tcW w:w="7646" w:type="dxa"/>
            <w:gridSpan w:val="2"/>
          </w:tcPr>
          <w:tbl>
            <w:tblPr>
              <w:tblpPr w:leftFromText="180" w:rightFromText="180" w:horzAnchor="margin" w:tblpY="598"/>
              <w:tblOverlap w:val="never"/>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48"/>
              <w:gridCol w:w="1733"/>
              <w:gridCol w:w="1843"/>
              <w:gridCol w:w="1559"/>
            </w:tblGrid>
            <w:tr w:rsidR="00963A2A" w:rsidRPr="003067E1" w:rsidTr="00963A2A">
              <w:trPr>
                <w:trHeight w:val="279"/>
              </w:trPr>
              <w:tc>
                <w:tcPr>
                  <w:tcW w:w="1948" w:type="dxa"/>
                  <w:tcBorders>
                    <w:top w:val="single" w:sz="4" w:space="0" w:color="auto"/>
                    <w:left w:val="single" w:sz="4" w:space="0" w:color="auto"/>
                    <w:bottom w:val="single" w:sz="4" w:space="0" w:color="auto"/>
                    <w:right w:val="single" w:sz="4" w:space="0" w:color="auto"/>
                  </w:tcBorders>
                  <w:shd w:val="clear" w:color="auto" w:fill="D9D9D9"/>
                  <w:noWrap/>
                  <w:vAlign w:val="center"/>
                </w:tcPr>
                <w:p w:rsidR="00963A2A" w:rsidRPr="003067E1" w:rsidRDefault="00963A2A" w:rsidP="001B5421">
                  <w:pPr>
                    <w:widowControl/>
                    <w:jc w:val="center"/>
                    <w:rPr>
                      <w:rFonts w:ascii="Times New Roman" w:eastAsiaTheme="minorEastAsia" w:hAnsi="Times New Roman"/>
                      <w:sz w:val="24"/>
                      <w:szCs w:val="24"/>
                    </w:rPr>
                  </w:pPr>
                  <w:r w:rsidRPr="003067E1">
                    <w:rPr>
                      <w:rFonts w:ascii="Times New Roman" w:eastAsiaTheme="minorEastAsia" w:hAnsiTheme="minorEastAsia"/>
                      <w:sz w:val="24"/>
                      <w:szCs w:val="24"/>
                    </w:rPr>
                    <w:t>相关产品市场</w:t>
                  </w:r>
                </w:p>
              </w:tc>
              <w:tc>
                <w:tcPr>
                  <w:tcW w:w="1733" w:type="dxa"/>
                  <w:tcBorders>
                    <w:top w:val="single" w:sz="4" w:space="0" w:color="auto"/>
                    <w:left w:val="single" w:sz="4" w:space="0" w:color="auto"/>
                    <w:bottom w:val="single" w:sz="4" w:space="0" w:color="auto"/>
                    <w:right w:val="single" w:sz="4" w:space="0" w:color="auto"/>
                  </w:tcBorders>
                  <w:shd w:val="clear" w:color="auto" w:fill="D9D9D9"/>
                  <w:noWrap/>
                  <w:vAlign w:val="center"/>
                </w:tcPr>
                <w:p w:rsidR="00963A2A" w:rsidRPr="003067E1" w:rsidRDefault="00963A2A" w:rsidP="001B5421">
                  <w:pPr>
                    <w:widowControl/>
                    <w:jc w:val="center"/>
                    <w:rPr>
                      <w:rFonts w:ascii="Times New Roman" w:eastAsiaTheme="minorEastAsia" w:hAnsi="Times New Roman"/>
                      <w:sz w:val="24"/>
                      <w:szCs w:val="24"/>
                    </w:rPr>
                  </w:pPr>
                  <w:r w:rsidRPr="00AE5177">
                    <w:rPr>
                      <w:rFonts w:ascii="Times New Roman" w:eastAsiaTheme="minorEastAsia" w:hAnsi="Times New Roman" w:hint="eastAsia"/>
                      <w:sz w:val="24"/>
                      <w:szCs w:val="24"/>
                    </w:rPr>
                    <w:t>东科克诺尔商用车制动技术有限公司</w:t>
                  </w:r>
                  <w:r>
                    <w:rPr>
                      <w:rFonts w:ascii="Times New Roman" w:eastAsiaTheme="minorEastAsia" w:hAnsiTheme="minorEastAsia" w:hint="eastAsia"/>
                      <w:sz w:val="24"/>
                      <w:szCs w:val="24"/>
                    </w:rPr>
                    <w:t>及</w:t>
                  </w:r>
                  <w:r>
                    <w:rPr>
                      <w:rFonts w:ascii="Times New Roman" w:eastAsiaTheme="minorEastAsia" w:hAnsiTheme="minorEastAsia"/>
                      <w:sz w:val="24"/>
                      <w:szCs w:val="24"/>
                    </w:rPr>
                    <w:t>其集团</w:t>
                  </w:r>
                  <w:r w:rsidRPr="003067E1">
                    <w:rPr>
                      <w:rFonts w:ascii="Times New Roman" w:eastAsiaTheme="minorEastAsia" w:hAnsiTheme="minorEastAsia"/>
                      <w:sz w:val="24"/>
                      <w:szCs w:val="24"/>
                    </w:rPr>
                    <w:t>市场份额</w:t>
                  </w:r>
                </w:p>
              </w:tc>
              <w:tc>
                <w:tcPr>
                  <w:tcW w:w="1843" w:type="dxa"/>
                  <w:tcBorders>
                    <w:top w:val="single" w:sz="4" w:space="0" w:color="auto"/>
                    <w:left w:val="single" w:sz="4" w:space="0" w:color="auto"/>
                    <w:bottom w:val="single" w:sz="4" w:space="0" w:color="auto"/>
                    <w:right w:val="single" w:sz="4" w:space="0" w:color="auto"/>
                  </w:tcBorders>
                  <w:shd w:val="clear" w:color="auto" w:fill="D9D9D9"/>
                  <w:noWrap/>
                  <w:vAlign w:val="center"/>
                </w:tcPr>
                <w:p w:rsidR="00963A2A" w:rsidRPr="003067E1" w:rsidRDefault="00963A2A" w:rsidP="001B5421">
                  <w:pPr>
                    <w:widowControl/>
                    <w:jc w:val="center"/>
                    <w:rPr>
                      <w:rFonts w:ascii="Times New Roman" w:eastAsiaTheme="minorEastAsia" w:hAnsi="Times New Roman"/>
                      <w:sz w:val="24"/>
                      <w:szCs w:val="24"/>
                    </w:rPr>
                  </w:pPr>
                  <w:r w:rsidRPr="00AE5177">
                    <w:rPr>
                      <w:rFonts w:ascii="Times New Roman" w:eastAsiaTheme="minorEastAsia" w:hAnsiTheme="minorEastAsia" w:hint="eastAsia"/>
                      <w:sz w:val="24"/>
                      <w:szCs w:val="24"/>
                    </w:rPr>
                    <w:t>东风汽车传动轴有限公司</w:t>
                  </w:r>
                  <w:r>
                    <w:rPr>
                      <w:rFonts w:ascii="Times New Roman" w:eastAsiaTheme="minorEastAsia" w:hAnsiTheme="minorEastAsia" w:hint="eastAsia"/>
                      <w:sz w:val="24"/>
                      <w:szCs w:val="24"/>
                    </w:rPr>
                    <w:t>及</w:t>
                  </w:r>
                  <w:r>
                    <w:rPr>
                      <w:rFonts w:ascii="Times New Roman" w:eastAsiaTheme="minorEastAsia" w:hAnsiTheme="minorEastAsia"/>
                      <w:sz w:val="24"/>
                      <w:szCs w:val="24"/>
                    </w:rPr>
                    <w:t>其集团</w:t>
                  </w:r>
                  <w:r w:rsidRPr="003067E1">
                    <w:rPr>
                      <w:rFonts w:ascii="Times New Roman" w:eastAsiaTheme="minorEastAsia" w:hAnsiTheme="minorEastAsia"/>
                      <w:sz w:val="24"/>
                      <w:szCs w:val="24"/>
                    </w:rPr>
                    <w:t>市场份额</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rsidR="00963A2A" w:rsidRPr="003067E1" w:rsidRDefault="00963A2A" w:rsidP="001B5421">
                  <w:pPr>
                    <w:widowControl/>
                    <w:jc w:val="center"/>
                    <w:rPr>
                      <w:rFonts w:ascii="Times New Roman" w:eastAsiaTheme="minorEastAsia" w:hAnsi="Times New Roman"/>
                      <w:sz w:val="24"/>
                      <w:szCs w:val="24"/>
                    </w:rPr>
                  </w:pPr>
                  <w:r w:rsidRPr="003067E1">
                    <w:rPr>
                      <w:rFonts w:ascii="Times New Roman" w:eastAsiaTheme="minorEastAsia" w:hAnsiTheme="minorEastAsia"/>
                      <w:sz w:val="24"/>
                      <w:szCs w:val="24"/>
                    </w:rPr>
                    <w:t>合计</w:t>
                  </w:r>
                </w:p>
              </w:tc>
            </w:tr>
            <w:tr w:rsidR="00963A2A" w:rsidRPr="003067E1" w:rsidTr="00963A2A">
              <w:trPr>
                <w:trHeight w:val="279"/>
              </w:trPr>
              <w:tc>
                <w:tcPr>
                  <w:tcW w:w="1948" w:type="dxa"/>
                  <w:tcBorders>
                    <w:top w:val="single" w:sz="4" w:space="0" w:color="auto"/>
                    <w:left w:val="single" w:sz="4" w:space="0" w:color="auto"/>
                    <w:bottom w:val="single" w:sz="4" w:space="0" w:color="auto"/>
                    <w:right w:val="single" w:sz="4" w:space="0" w:color="auto"/>
                  </w:tcBorders>
                  <w:noWrap/>
                  <w:vAlign w:val="center"/>
                </w:tcPr>
                <w:p w:rsidR="00963A2A" w:rsidRPr="003067E1" w:rsidRDefault="00963A2A" w:rsidP="008E0596">
                  <w:pPr>
                    <w:widowControl/>
                    <w:jc w:val="center"/>
                    <w:rPr>
                      <w:rFonts w:ascii="Times New Roman" w:eastAsiaTheme="minorEastAsia" w:hAnsi="Times New Roman"/>
                      <w:sz w:val="24"/>
                      <w:szCs w:val="24"/>
                    </w:rPr>
                  </w:pPr>
                  <w:r w:rsidRPr="00963A2A">
                    <w:rPr>
                      <w:rFonts w:ascii="Times New Roman" w:eastAsiaTheme="minorEastAsia" w:hAnsiTheme="minorEastAsia" w:hint="eastAsia"/>
                      <w:sz w:val="24"/>
                      <w:szCs w:val="24"/>
                    </w:rPr>
                    <w:t>循环球式转向器</w:t>
                  </w:r>
                </w:p>
              </w:tc>
              <w:tc>
                <w:tcPr>
                  <w:tcW w:w="1733" w:type="dxa"/>
                  <w:tcBorders>
                    <w:top w:val="single" w:sz="4" w:space="0" w:color="auto"/>
                    <w:left w:val="single" w:sz="4" w:space="0" w:color="auto"/>
                    <w:bottom w:val="single" w:sz="4" w:space="0" w:color="auto"/>
                    <w:right w:val="single" w:sz="4" w:space="0" w:color="auto"/>
                  </w:tcBorders>
                  <w:noWrap/>
                  <w:vAlign w:val="center"/>
                </w:tcPr>
                <w:p w:rsidR="00963A2A" w:rsidRPr="003067E1" w:rsidRDefault="00963A2A" w:rsidP="00590900">
                  <w:pPr>
                    <w:jc w:val="center"/>
                    <w:rPr>
                      <w:rFonts w:ascii="Times New Roman" w:eastAsiaTheme="minorEastAsia" w:hAnsi="Times New Roman"/>
                      <w:sz w:val="24"/>
                      <w:szCs w:val="24"/>
                    </w:rPr>
                  </w:pPr>
                  <w:r w:rsidRPr="003067E1">
                    <w:rPr>
                      <w:rFonts w:ascii="Times New Roman" w:eastAsiaTheme="minorEastAsia" w:hAnsi="Times New Roman"/>
                      <w:sz w:val="24"/>
                      <w:szCs w:val="24"/>
                    </w:rPr>
                    <w:t>[</w:t>
                  </w:r>
                  <w:r>
                    <w:rPr>
                      <w:rFonts w:ascii="Times New Roman" w:eastAsiaTheme="minorEastAsia" w:hAnsi="Times New Roman" w:hint="eastAsia"/>
                      <w:sz w:val="24"/>
                      <w:szCs w:val="24"/>
                    </w:rPr>
                    <w:t>0-5</w:t>
                  </w:r>
                  <w:r w:rsidRPr="003067E1">
                    <w:rPr>
                      <w:rFonts w:ascii="Times New Roman" w:eastAsiaTheme="minorEastAsia" w:hAnsi="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noWrap/>
                  <w:vAlign w:val="center"/>
                </w:tcPr>
                <w:p w:rsidR="00963A2A" w:rsidRPr="003067E1" w:rsidRDefault="00963A2A" w:rsidP="00590900">
                  <w:pPr>
                    <w:jc w:val="center"/>
                    <w:rPr>
                      <w:rFonts w:ascii="Times New Roman" w:eastAsiaTheme="minorEastAsia" w:hAnsi="Times New Roman"/>
                      <w:sz w:val="24"/>
                      <w:szCs w:val="24"/>
                    </w:rPr>
                  </w:pPr>
                  <w:r w:rsidRPr="003067E1">
                    <w:rPr>
                      <w:rFonts w:ascii="Times New Roman" w:eastAsiaTheme="minorEastAsia" w:hAnsi="Times New Roman"/>
                      <w:sz w:val="24"/>
                      <w:szCs w:val="24"/>
                    </w:rPr>
                    <w:t>[</w:t>
                  </w:r>
                  <w:r>
                    <w:rPr>
                      <w:rFonts w:ascii="Times New Roman" w:eastAsiaTheme="minorEastAsia" w:hAnsi="Times New Roman" w:hint="eastAsia"/>
                      <w:sz w:val="24"/>
                      <w:szCs w:val="24"/>
                    </w:rPr>
                    <w:t>0-5</w:t>
                  </w:r>
                  <w:r w:rsidRPr="003067E1">
                    <w:rPr>
                      <w:rFonts w:ascii="Times New Roman" w:eastAsiaTheme="minorEastAsia"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rsidR="00963A2A" w:rsidRPr="003067E1" w:rsidRDefault="00963A2A" w:rsidP="00516537">
                  <w:pPr>
                    <w:jc w:val="center"/>
                    <w:rPr>
                      <w:rFonts w:ascii="Times New Roman" w:eastAsiaTheme="minorEastAsia" w:hAnsi="Times New Roman"/>
                      <w:sz w:val="24"/>
                      <w:szCs w:val="24"/>
                    </w:rPr>
                  </w:pPr>
                  <w:r w:rsidRPr="003067E1">
                    <w:rPr>
                      <w:rFonts w:ascii="Times New Roman" w:eastAsiaTheme="minorEastAsia" w:hAnsi="Times New Roman"/>
                      <w:sz w:val="24"/>
                      <w:szCs w:val="24"/>
                    </w:rPr>
                    <w:t>[</w:t>
                  </w:r>
                  <w:r>
                    <w:rPr>
                      <w:rFonts w:ascii="Times New Roman" w:eastAsiaTheme="minorEastAsia" w:hAnsi="Times New Roman" w:hint="eastAsia"/>
                      <w:sz w:val="24"/>
                      <w:szCs w:val="24"/>
                    </w:rPr>
                    <w:t>0-5</w:t>
                  </w:r>
                  <w:r w:rsidRPr="003067E1">
                    <w:rPr>
                      <w:rFonts w:ascii="Times New Roman" w:eastAsiaTheme="minorEastAsia" w:hAnsi="Times New Roman"/>
                      <w:sz w:val="24"/>
                      <w:szCs w:val="24"/>
                    </w:rPr>
                    <w:t>]%</w:t>
                  </w:r>
                </w:p>
              </w:tc>
            </w:tr>
            <w:tr w:rsidR="00963A2A" w:rsidRPr="003067E1" w:rsidTr="00963A2A">
              <w:trPr>
                <w:trHeight w:val="279"/>
              </w:trPr>
              <w:tc>
                <w:tcPr>
                  <w:tcW w:w="1948" w:type="dxa"/>
                  <w:tcBorders>
                    <w:top w:val="single" w:sz="4" w:space="0" w:color="auto"/>
                    <w:left w:val="single" w:sz="4" w:space="0" w:color="auto"/>
                    <w:bottom w:val="single" w:sz="4" w:space="0" w:color="auto"/>
                    <w:right w:val="single" w:sz="4" w:space="0" w:color="auto"/>
                  </w:tcBorders>
                  <w:noWrap/>
                  <w:vAlign w:val="center"/>
                </w:tcPr>
                <w:p w:rsidR="00963A2A" w:rsidRPr="002B1541" w:rsidRDefault="00963A2A" w:rsidP="00516537">
                  <w:pPr>
                    <w:widowControl/>
                    <w:jc w:val="center"/>
                    <w:rPr>
                      <w:rFonts w:ascii="Times New Roman" w:eastAsiaTheme="minorEastAsia" w:hAnsiTheme="minorEastAsia"/>
                      <w:sz w:val="24"/>
                      <w:szCs w:val="24"/>
                    </w:rPr>
                  </w:pPr>
                  <w:r>
                    <w:rPr>
                      <w:rFonts w:ascii="Times New Roman" w:eastAsiaTheme="minorEastAsia" w:hAnsiTheme="minorEastAsia" w:hint="eastAsia"/>
                      <w:sz w:val="24"/>
                      <w:szCs w:val="24"/>
                    </w:rPr>
                    <w:t>转向柱</w:t>
                  </w:r>
                </w:p>
              </w:tc>
              <w:tc>
                <w:tcPr>
                  <w:tcW w:w="1733" w:type="dxa"/>
                  <w:tcBorders>
                    <w:top w:val="single" w:sz="4" w:space="0" w:color="auto"/>
                    <w:left w:val="single" w:sz="4" w:space="0" w:color="auto"/>
                    <w:bottom w:val="single" w:sz="4" w:space="0" w:color="auto"/>
                    <w:right w:val="single" w:sz="4" w:space="0" w:color="auto"/>
                  </w:tcBorders>
                  <w:noWrap/>
                  <w:vAlign w:val="center"/>
                </w:tcPr>
                <w:p w:rsidR="00963A2A" w:rsidRPr="003067E1" w:rsidRDefault="00963A2A" w:rsidP="00516537">
                  <w:pPr>
                    <w:jc w:val="center"/>
                    <w:rPr>
                      <w:rFonts w:ascii="Times New Roman" w:eastAsiaTheme="minorEastAsia" w:hAnsi="Times New Roman"/>
                      <w:sz w:val="24"/>
                      <w:szCs w:val="24"/>
                    </w:rPr>
                  </w:pPr>
                  <w:r w:rsidRPr="003067E1">
                    <w:rPr>
                      <w:rFonts w:ascii="Times New Roman" w:eastAsiaTheme="minorEastAsia" w:hAnsi="Times New Roman"/>
                      <w:sz w:val="24"/>
                      <w:szCs w:val="24"/>
                    </w:rPr>
                    <w:t>[</w:t>
                  </w:r>
                  <w:r>
                    <w:rPr>
                      <w:rFonts w:ascii="Times New Roman" w:eastAsiaTheme="minorEastAsia" w:hAnsi="Times New Roman" w:hint="eastAsia"/>
                      <w:sz w:val="24"/>
                      <w:szCs w:val="24"/>
                    </w:rPr>
                    <w:t>0-5</w:t>
                  </w:r>
                  <w:r w:rsidRPr="003067E1">
                    <w:rPr>
                      <w:rFonts w:ascii="Times New Roman" w:eastAsiaTheme="minorEastAsia" w:hAnsi="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noWrap/>
                  <w:vAlign w:val="center"/>
                </w:tcPr>
                <w:p w:rsidR="00963A2A" w:rsidRPr="003067E1" w:rsidRDefault="00963A2A" w:rsidP="00516537">
                  <w:pPr>
                    <w:jc w:val="center"/>
                    <w:rPr>
                      <w:rFonts w:ascii="Times New Roman" w:eastAsiaTheme="minorEastAsia" w:hAnsi="Times New Roman"/>
                      <w:sz w:val="24"/>
                      <w:szCs w:val="24"/>
                    </w:rPr>
                  </w:pPr>
                  <w:r w:rsidRPr="003067E1">
                    <w:rPr>
                      <w:rFonts w:ascii="Times New Roman" w:eastAsiaTheme="minorEastAsia" w:hAnsi="Times New Roman"/>
                      <w:sz w:val="24"/>
                      <w:szCs w:val="24"/>
                    </w:rPr>
                    <w:t>[</w:t>
                  </w:r>
                  <w:r>
                    <w:rPr>
                      <w:rFonts w:ascii="Times New Roman" w:eastAsiaTheme="minorEastAsia" w:hAnsi="Times New Roman"/>
                      <w:sz w:val="24"/>
                      <w:szCs w:val="24"/>
                    </w:rPr>
                    <w:t>5-10</w:t>
                  </w:r>
                  <w:r w:rsidRPr="003067E1">
                    <w:rPr>
                      <w:rFonts w:ascii="Times New Roman" w:eastAsiaTheme="minorEastAsia"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rsidR="00963A2A" w:rsidRPr="003067E1" w:rsidRDefault="00963A2A" w:rsidP="00516537">
                  <w:pPr>
                    <w:jc w:val="center"/>
                    <w:rPr>
                      <w:rFonts w:ascii="Times New Roman" w:eastAsiaTheme="minorEastAsia" w:hAnsi="Times New Roman"/>
                      <w:sz w:val="24"/>
                      <w:szCs w:val="24"/>
                    </w:rPr>
                  </w:pPr>
                  <w:r w:rsidRPr="003067E1">
                    <w:rPr>
                      <w:rFonts w:ascii="Times New Roman" w:eastAsiaTheme="minorEastAsia" w:hAnsi="Times New Roman"/>
                      <w:sz w:val="24"/>
                      <w:szCs w:val="24"/>
                    </w:rPr>
                    <w:t>[</w:t>
                  </w:r>
                  <w:r>
                    <w:rPr>
                      <w:rFonts w:ascii="Times New Roman" w:eastAsiaTheme="minorEastAsia" w:hAnsi="Times New Roman"/>
                      <w:sz w:val="24"/>
                      <w:szCs w:val="24"/>
                    </w:rPr>
                    <w:t>5-10</w:t>
                  </w:r>
                  <w:r w:rsidRPr="003067E1">
                    <w:rPr>
                      <w:rFonts w:ascii="Times New Roman" w:eastAsiaTheme="minorEastAsia" w:hAnsi="Times New Roman"/>
                      <w:sz w:val="24"/>
                      <w:szCs w:val="24"/>
                    </w:rPr>
                    <w:t>]%</w:t>
                  </w:r>
                </w:p>
              </w:tc>
            </w:tr>
          </w:tbl>
          <w:p w:rsidR="00EF5DC1" w:rsidRPr="003067E1" w:rsidRDefault="00EF5DC1" w:rsidP="00EF5DC1">
            <w:pPr>
              <w:spacing w:line="500" w:lineRule="exact"/>
              <w:rPr>
                <w:rFonts w:ascii="Times New Roman" w:eastAsiaTheme="minorEastAsia" w:hAnsi="Times New Roman"/>
                <w:sz w:val="24"/>
                <w:szCs w:val="24"/>
              </w:rPr>
            </w:pPr>
            <w:r w:rsidRPr="003067E1">
              <w:rPr>
                <w:rFonts w:ascii="Times New Roman" w:eastAsiaTheme="minorEastAsia" w:hAnsiTheme="minorEastAsia"/>
                <w:sz w:val="24"/>
                <w:szCs w:val="24"/>
              </w:rPr>
              <w:t>就本次交易而言</w:t>
            </w:r>
            <w:r w:rsidR="00590ABB">
              <w:rPr>
                <w:rFonts w:ascii="Times New Roman" w:eastAsiaTheme="minorEastAsia" w:hAnsi="Times New Roman" w:hint="eastAsia"/>
                <w:sz w:val="24"/>
                <w:szCs w:val="24"/>
              </w:rPr>
              <w:t>，</w:t>
            </w:r>
            <w:r w:rsidR="00AF19CA" w:rsidRPr="003067E1">
              <w:rPr>
                <w:rFonts w:ascii="Times New Roman" w:eastAsiaTheme="minorEastAsia" w:hAnsiTheme="minorEastAsia"/>
                <w:sz w:val="24"/>
                <w:szCs w:val="24"/>
              </w:rPr>
              <w:t>相关产品市场和市场份额如下</w:t>
            </w:r>
            <w:r w:rsidRPr="003067E1">
              <w:rPr>
                <w:rFonts w:ascii="Times New Roman" w:eastAsiaTheme="minorEastAsia" w:hAnsiTheme="minorEastAsia"/>
                <w:sz w:val="24"/>
                <w:szCs w:val="24"/>
              </w:rPr>
              <w:t>：</w:t>
            </w:r>
          </w:p>
          <w:p w:rsidR="00516537" w:rsidRPr="00516537" w:rsidRDefault="00556476" w:rsidP="00590ABB">
            <w:pPr>
              <w:spacing w:line="500" w:lineRule="exact"/>
              <w:rPr>
                <w:rFonts w:ascii="Times New Roman" w:eastAsiaTheme="minorEastAsia" w:hAnsiTheme="minorEastAsia"/>
                <w:sz w:val="24"/>
                <w:szCs w:val="24"/>
              </w:rPr>
            </w:pPr>
            <w:r>
              <w:rPr>
                <w:rFonts w:ascii="Times New Roman" w:eastAsiaTheme="minorEastAsia" w:hAnsiTheme="minorEastAsia"/>
                <w:sz w:val="24"/>
                <w:szCs w:val="24"/>
              </w:rPr>
              <w:t>相关地域市场</w:t>
            </w:r>
            <w:r w:rsidR="00EF5DC1" w:rsidRPr="003067E1">
              <w:rPr>
                <w:rFonts w:ascii="Times New Roman" w:eastAsiaTheme="minorEastAsia" w:hAnsiTheme="minorEastAsia"/>
                <w:sz w:val="24"/>
                <w:szCs w:val="24"/>
              </w:rPr>
              <w:t>为：</w:t>
            </w:r>
            <w:r w:rsidR="00516537">
              <w:rPr>
                <w:rFonts w:ascii="Times New Roman" w:eastAsiaTheme="minorEastAsia" w:hAnsiTheme="minorEastAsia" w:hint="eastAsia"/>
                <w:sz w:val="24"/>
                <w:szCs w:val="24"/>
              </w:rPr>
              <w:t>中国</w:t>
            </w:r>
            <w:r w:rsidR="001B5421">
              <w:rPr>
                <w:rFonts w:ascii="Times New Roman" w:eastAsiaTheme="minorEastAsia" w:hAnsiTheme="minorEastAsia" w:hint="eastAsia"/>
                <w:sz w:val="24"/>
                <w:szCs w:val="24"/>
              </w:rPr>
              <w:t>。</w:t>
            </w:r>
          </w:p>
        </w:tc>
      </w:tr>
    </w:tbl>
    <w:p w:rsidR="00BB2377" w:rsidRPr="00590ABB" w:rsidRDefault="00BB2377" w:rsidP="00BB2377">
      <w:pPr>
        <w:snapToGrid w:val="0"/>
        <w:spacing w:line="240" w:lineRule="exact"/>
        <w:jc w:val="left"/>
        <w:rPr>
          <w:rFonts w:asciiTheme="minorEastAsia" w:eastAsiaTheme="minorEastAsia" w:hAnsiTheme="minorEastAsia"/>
          <w:sz w:val="24"/>
          <w:szCs w:val="24"/>
        </w:rPr>
      </w:pPr>
    </w:p>
    <w:p w:rsidR="005F167B" w:rsidRPr="00590ABB" w:rsidRDefault="005F167B" w:rsidP="00BB2377">
      <w:pPr>
        <w:snapToGrid w:val="0"/>
        <w:spacing w:line="240" w:lineRule="exact"/>
        <w:jc w:val="left"/>
        <w:rPr>
          <w:rFonts w:asciiTheme="minorEastAsia" w:eastAsiaTheme="minorEastAsia" w:hAnsiTheme="minorEastAsia"/>
          <w:sz w:val="24"/>
          <w:szCs w:val="24"/>
        </w:rPr>
      </w:pPr>
      <w:r w:rsidRPr="00590ABB">
        <w:rPr>
          <w:rFonts w:asciiTheme="minorEastAsia" w:eastAsiaTheme="minorEastAsia" w:hAnsiTheme="minorEastAsia" w:hint="eastAsia"/>
          <w:sz w:val="24"/>
          <w:szCs w:val="24"/>
        </w:rPr>
        <w:t>注解：</w:t>
      </w:r>
    </w:p>
    <w:p w:rsidR="005F167B" w:rsidRPr="00590ABB" w:rsidRDefault="005F167B" w:rsidP="00BB2377">
      <w:pPr>
        <w:snapToGrid w:val="0"/>
        <w:spacing w:line="360" w:lineRule="auto"/>
        <w:ind w:firstLineChars="200" w:firstLine="480"/>
        <w:jc w:val="left"/>
        <w:rPr>
          <w:rFonts w:asciiTheme="minorEastAsia" w:eastAsiaTheme="minorEastAsia" w:hAnsiTheme="minorEastAsia"/>
          <w:sz w:val="24"/>
          <w:szCs w:val="24"/>
        </w:rPr>
      </w:pPr>
      <w:r w:rsidRPr="00590ABB">
        <w:rPr>
          <w:rFonts w:asciiTheme="minorEastAsia" w:eastAsiaTheme="minorEastAsia" w:hAnsiTheme="minorEastAsia"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590ABB" w:rsidRDefault="005F167B" w:rsidP="00BB2377">
      <w:pPr>
        <w:spacing w:line="360" w:lineRule="auto"/>
        <w:ind w:firstLineChars="200" w:firstLine="480"/>
        <w:rPr>
          <w:rFonts w:asciiTheme="minorEastAsia" w:eastAsiaTheme="minorEastAsia" w:hAnsiTheme="minorEastAsia"/>
          <w:sz w:val="28"/>
          <w:szCs w:val="28"/>
        </w:rPr>
      </w:pPr>
      <w:r w:rsidRPr="00590ABB">
        <w:rPr>
          <w:rFonts w:asciiTheme="minorEastAsia" w:eastAsiaTheme="minorEastAsia" w:hAnsiTheme="minorEastAsia" w:hint="eastAsia"/>
          <w:sz w:val="24"/>
          <w:szCs w:val="24"/>
        </w:rPr>
        <w:t>2、申报方申请简易案件的理由是基于第4项、第5项时，无须在备注中说明相关市场和市场份额。</w:t>
      </w:r>
      <w:r w:rsidRPr="00590ABB">
        <w:rPr>
          <w:rFonts w:asciiTheme="minorEastAsia" w:eastAsiaTheme="minorEastAsia" w:hAnsiTheme="minorEastAsia"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53B9" w:rsidRDefault="005753B9" w:rsidP="00094095">
      <w:r>
        <w:separator/>
      </w:r>
    </w:p>
  </w:endnote>
  <w:endnote w:type="continuationSeparator" w:id="0">
    <w:p w:rsidR="005753B9" w:rsidRDefault="005753B9"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53B9" w:rsidRDefault="005753B9" w:rsidP="00094095">
      <w:r>
        <w:separator/>
      </w:r>
    </w:p>
  </w:footnote>
  <w:footnote w:type="continuationSeparator" w:id="0">
    <w:p w:rsidR="005753B9" w:rsidRDefault="005753B9"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81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94095"/>
    <w:rsid w:val="00002794"/>
    <w:rsid w:val="00014F3D"/>
    <w:rsid w:val="00094095"/>
    <w:rsid w:val="000F3D60"/>
    <w:rsid w:val="00123DF9"/>
    <w:rsid w:val="00157F4D"/>
    <w:rsid w:val="0017663E"/>
    <w:rsid w:val="001B5421"/>
    <w:rsid w:val="001D4376"/>
    <w:rsid w:val="001D4552"/>
    <w:rsid w:val="001D59B6"/>
    <w:rsid w:val="001F2DCA"/>
    <w:rsid w:val="002255E6"/>
    <w:rsid w:val="00245776"/>
    <w:rsid w:val="00253FF0"/>
    <w:rsid w:val="00254730"/>
    <w:rsid w:val="00267AD1"/>
    <w:rsid w:val="002B1541"/>
    <w:rsid w:val="002F2D60"/>
    <w:rsid w:val="00300FE1"/>
    <w:rsid w:val="003067E1"/>
    <w:rsid w:val="00307976"/>
    <w:rsid w:val="00462174"/>
    <w:rsid w:val="00491A41"/>
    <w:rsid w:val="00505B5A"/>
    <w:rsid w:val="00516537"/>
    <w:rsid w:val="005336DC"/>
    <w:rsid w:val="005405E6"/>
    <w:rsid w:val="00556476"/>
    <w:rsid w:val="005753B9"/>
    <w:rsid w:val="00590900"/>
    <w:rsid w:val="00590ABB"/>
    <w:rsid w:val="005C4166"/>
    <w:rsid w:val="005F167B"/>
    <w:rsid w:val="0062781B"/>
    <w:rsid w:val="00633FC1"/>
    <w:rsid w:val="006B4FC4"/>
    <w:rsid w:val="006E2FF1"/>
    <w:rsid w:val="00737CA2"/>
    <w:rsid w:val="00750D5D"/>
    <w:rsid w:val="00754F2D"/>
    <w:rsid w:val="007607C1"/>
    <w:rsid w:val="00781C92"/>
    <w:rsid w:val="00793DED"/>
    <w:rsid w:val="007A56B8"/>
    <w:rsid w:val="008621E6"/>
    <w:rsid w:val="00870CB9"/>
    <w:rsid w:val="00876714"/>
    <w:rsid w:val="008B7730"/>
    <w:rsid w:val="008D6EB8"/>
    <w:rsid w:val="008E0596"/>
    <w:rsid w:val="0092528D"/>
    <w:rsid w:val="009427B5"/>
    <w:rsid w:val="009608AE"/>
    <w:rsid w:val="00963A2A"/>
    <w:rsid w:val="00995CFE"/>
    <w:rsid w:val="009C2BF4"/>
    <w:rsid w:val="00A34374"/>
    <w:rsid w:val="00A36C19"/>
    <w:rsid w:val="00A4556A"/>
    <w:rsid w:val="00A4705C"/>
    <w:rsid w:val="00A664CC"/>
    <w:rsid w:val="00AC4EE1"/>
    <w:rsid w:val="00AE5177"/>
    <w:rsid w:val="00AF19CA"/>
    <w:rsid w:val="00B04864"/>
    <w:rsid w:val="00B411F2"/>
    <w:rsid w:val="00B5189A"/>
    <w:rsid w:val="00B91AD4"/>
    <w:rsid w:val="00BA0750"/>
    <w:rsid w:val="00BB2377"/>
    <w:rsid w:val="00BF1BC1"/>
    <w:rsid w:val="00BF6E13"/>
    <w:rsid w:val="00C8646D"/>
    <w:rsid w:val="00C9068E"/>
    <w:rsid w:val="00CE1E41"/>
    <w:rsid w:val="00D03203"/>
    <w:rsid w:val="00D21777"/>
    <w:rsid w:val="00D67051"/>
    <w:rsid w:val="00D86991"/>
    <w:rsid w:val="00DA3A1A"/>
    <w:rsid w:val="00DC42CF"/>
    <w:rsid w:val="00DC6AE8"/>
    <w:rsid w:val="00DD0A59"/>
    <w:rsid w:val="00E43109"/>
    <w:rsid w:val="00EB4A3F"/>
    <w:rsid w:val="00ED21B1"/>
    <w:rsid w:val="00EF5DC1"/>
    <w:rsid w:val="00F620CE"/>
    <w:rsid w:val="00F75761"/>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14:docId w14:val="138E248E"/>
  <w15:docId w15:val="{738EF8C5-AF84-47EB-BC3E-3BF5580AD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4095"/>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semiHidden/>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semiHidden/>
    <w:rsid w:val="00D21777"/>
    <w:rPr>
      <w:sz w:val="18"/>
      <w:szCs w:val="18"/>
    </w:rPr>
  </w:style>
  <w:style w:type="paragraph" w:styleId="Footer">
    <w:name w:val="footer"/>
    <w:basedOn w:val="Normal"/>
    <w:link w:val="FooterChar"/>
    <w:uiPriority w:val="99"/>
    <w:semiHidden/>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semiHidden/>
    <w:rsid w:val="00D21777"/>
    <w:rPr>
      <w:sz w:val="18"/>
      <w:szCs w:val="18"/>
    </w:rPr>
  </w:style>
  <w:style w:type="character" w:styleId="CommentReference">
    <w:name w:val="annotation reference"/>
    <w:basedOn w:val="DefaultParagraphFont"/>
    <w:uiPriority w:val="99"/>
    <w:semiHidden/>
    <w:unhideWhenUsed/>
    <w:rsid w:val="008B7730"/>
    <w:rPr>
      <w:sz w:val="21"/>
      <w:szCs w:val="21"/>
    </w:rPr>
  </w:style>
  <w:style w:type="paragraph" w:styleId="CommentText">
    <w:name w:val="annotation text"/>
    <w:basedOn w:val="Normal"/>
    <w:link w:val="CommentTextChar"/>
    <w:uiPriority w:val="99"/>
    <w:semiHidden/>
    <w:unhideWhenUsed/>
    <w:rsid w:val="008B7730"/>
    <w:pPr>
      <w:jc w:val="left"/>
    </w:pPr>
  </w:style>
  <w:style w:type="character" w:customStyle="1" w:styleId="CommentTextChar">
    <w:name w:val="Comment Text Char"/>
    <w:basedOn w:val="DefaultParagraphFont"/>
    <w:link w:val="CommentText"/>
    <w:uiPriority w:val="99"/>
    <w:semiHidden/>
    <w:rsid w:val="008B7730"/>
    <w:rPr>
      <w:kern w:val="2"/>
      <w:sz w:val="21"/>
      <w:szCs w:val="22"/>
    </w:rPr>
  </w:style>
  <w:style w:type="paragraph" w:styleId="CommentSubject">
    <w:name w:val="annotation subject"/>
    <w:basedOn w:val="CommentText"/>
    <w:next w:val="CommentText"/>
    <w:link w:val="CommentSubjectChar"/>
    <w:uiPriority w:val="99"/>
    <w:semiHidden/>
    <w:unhideWhenUsed/>
    <w:rsid w:val="008B7730"/>
    <w:rPr>
      <w:b/>
      <w:bCs/>
    </w:rPr>
  </w:style>
  <w:style w:type="character" w:customStyle="1" w:styleId="CommentSubjectChar">
    <w:name w:val="Comment Subject Char"/>
    <w:basedOn w:val="CommentTextChar"/>
    <w:link w:val="CommentSubject"/>
    <w:uiPriority w:val="99"/>
    <w:semiHidden/>
    <w:rsid w:val="008B7730"/>
    <w:rPr>
      <w:b/>
      <w:bCs/>
      <w:kern w:val="2"/>
      <w:sz w:val="21"/>
      <w:szCs w:val="22"/>
    </w:rPr>
  </w:style>
  <w:style w:type="paragraph" w:styleId="BalloonText">
    <w:name w:val="Balloon Text"/>
    <w:basedOn w:val="Normal"/>
    <w:link w:val="BalloonTextChar"/>
    <w:uiPriority w:val="99"/>
    <w:semiHidden/>
    <w:unhideWhenUsed/>
    <w:rsid w:val="008B7730"/>
    <w:rPr>
      <w:sz w:val="18"/>
      <w:szCs w:val="18"/>
    </w:rPr>
  </w:style>
  <w:style w:type="character" w:customStyle="1" w:styleId="BalloonTextChar">
    <w:name w:val="Balloon Text Char"/>
    <w:basedOn w:val="DefaultParagraphFont"/>
    <w:link w:val="BalloonText"/>
    <w:uiPriority w:val="99"/>
    <w:semiHidden/>
    <w:rsid w:val="008B773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569058">
      <w:bodyDiv w:val="1"/>
      <w:marLeft w:val="0"/>
      <w:marRight w:val="0"/>
      <w:marTop w:val="0"/>
      <w:marBottom w:val="0"/>
      <w:divBdr>
        <w:top w:val="none" w:sz="0" w:space="0" w:color="auto"/>
        <w:left w:val="none" w:sz="0" w:space="0" w:color="auto"/>
        <w:bottom w:val="none" w:sz="0" w:space="0" w:color="auto"/>
        <w:right w:val="none" w:sz="0" w:space="0" w:color="auto"/>
      </w:divBdr>
      <w:divsChild>
        <w:div w:id="269168087">
          <w:marLeft w:val="0"/>
          <w:marRight w:val="0"/>
          <w:marTop w:val="0"/>
          <w:marBottom w:val="0"/>
          <w:divBdr>
            <w:top w:val="none" w:sz="0" w:space="0" w:color="auto"/>
            <w:left w:val="none" w:sz="0" w:space="0" w:color="auto"/>
            <w:bottom w:val="none" w:sz="0" w:space="0" w:color="auto"/>
            <w:right w:val="none" w:sz="0" w:space="0" w:color="auto"/>
          </w:divBdr>
          <w:divsChild>
            <w:div w:id="11510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5B71DE-05B7-4557-B2B5-D50B40207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Wang</dc:creator>
  <cp:lastModifiedBy>Chen, Angela</cp:lastModifiedBy>
  <cp:revision>19</cp:revision>
  <cp:lastPrinted>2015-08-17T08:05:00Z</cp:lastPrinted>
  <dcterms:created xsi:type="dcterms:W3CDTF">2015-09-06T13:56:00Z</dcterms:created>
  <dcterms:modified xsi:type="dcterms:W3CDTF">2018-12-21T09:13:00Z</dcterms:modified>
</cp:coreProperties>
</file>