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SK株式会社收购深圳龙电电气股份有限公司股权案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SK株式会社（“SK”）将取得深圳龙电电气股份有限公司（“龙电电气”）约26%的股权，</w:t>
            </w:r>
            <w:r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获得与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龙电电气目前的</w:t>
            </w:r>
            <w:r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单独控制方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达仁投资管理集团股份有限公司（“达仁集团”）</w:t>
            </w:r>
            <w:r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对龙电电气的共同控制权。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SK株式会社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SK的主营业务领域涉及（1）投资性业务；（2）IT服务业；（3）安保服务业；（4）流通及其他事业等。与本项集中相关的业务系由其子公司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SK创新（SK Innovation）开展，具体主要涉及湿法工艺生产的锂电池隔膜产品。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达仁投资管理集团股份有限公司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达仁集团</w:t>
            </w:r>
            <w:r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旗下业务包括黄金冶炼与矿山开采、电气设备及新能源、国内财富管理、国际金融四大板块。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……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相关市场界定及市场份额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val="en-US" w:eastAsia="zh-CN"/>
              </w:rPr>
              <w:t>全球铜箔市场</w:t>
            </w:r>
          </w:p>
          <w:p>
            <w:pPr>
              <w:numPr>
                <w:ilvl w:val="0"/>
                <w:numId w:val="0"/>
              </w:num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龙电电气下属灵宝华鑫：[0%-5%]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val="en-US" w:eastAsia="zh-CN"/>
              </w:rPr>
              <w:t>全球湿法锂电池隔膜市场</w:t>
            </w:r>
          </w:p>
          <w:p>
            <w:pPr>
              <w:numPr>
                <w:ilvl w:val="0"/>
                <w:numId w:val="0"/>
              </w:num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SK:[15%-20%]</w:t>
            </w:r>
          </w:p>
          <w:p>
            <w:pPr>
              <w:numPr>
                <w:ilvl w:val="0"/>
                <w:numId w:val="0"/>
              </w:num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hint="eastAsia"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48A2A2D"/>
    <w:multiLevelType w:val="singleLevel"/>
    <w:tmpl w:val="F48A2A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0BB16A9E"/>
    <w:rsid w:val="47D72B01"/>
    <w:rsid w:val="53663D7F"/>
    <w:rsid w:val="761830F7"/>
    <w:rsid w:val="7B4431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600</Characters>
  <Lines>5</Lines>
  <Paragraphs>1</Paragraphs>
  <TotalTime>0</TotalTime>
  <ScaleCrop>false</ScaleCrop>
  <LinksUpToDate>false</LinksUpToDate>
  <CharactersWithSpaces>704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TY</cp:lastModifiedBy>
  <dcterms:modified xsi:type="dcterms:W3CDTF">2019-01-28T07:22:18Z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