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213FA" w:rsidRDefault="000677A1">
      <w:pPr>
        <w:spacing w:line="440" w:lineRule="exact"/>
        <w:jc w:val="center"/>
        <w:rPr>
          <w:rFonts w:ascii="黑体" w:eastAsia="黑体" w:hAnsi="Times New Roman"/>
          <w:sz w:val="30"/>
          <w:szCs w:val="30"/>
        </w:rPr>
      </w:pPr>
      <w:r>
        <w:rPr>
          <w:rFonts w:ascii="黑体" w:eastAsia="黑体" w:hAnsi="Times New Roman" w:hint="eastAsia"/>
          <w:sz w:val="30"/>
          <w:szCs w:val="30"/>
        </w:rPr>
        <w:t>经营者集中简易案件公示表</w:t>
      </w:r>
    </w:p>
    <w:p w:rsidR="00B213FA" w:rsidRDefault="00B213FA">
      <w:pPr>
        <w:spacing w:line="440" w:lineRule="exact"/>
        <w:rPr>
          <w:rFonts w:ascii="黑体" w:eastAsia="黑体" w:hAnsi="Times New Roman"/>
          <w:sz w:val="28"/>
          <w:szCs w:val="28"/>
        </w:rPr>
      </w:pPr>
    </w:p>
    <w:p w:rsidR="00B213FA" w:rsidRDefault="00B213FA">
      <w:pPr>
        <w:spacing w:line="440" w:lineRule="exact"/>
        <w:ind w:firstLineChars="302" w:firstLine="846"/>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796"/>
        <w:gridCol w:w="5153"/>
      </w:tblGrid>
      <w:tr w:rsidR="00B213FA">
        <w:tc>
          <w:tcPr>
            <w:tcW w:w="1809" w:type="dxa"/>
            <w:shd w:val="clear" w:color="auto" w:fill="D9D9D9"/>
          </w:tcPr>
          <w:p w:rsidR="00B213FA" w:rsidRDefault="000677A1">
            <w:pPr>
              <w:spacing w:line="500" w:lineRule="exact"/>
              <w:rPr>
                <w:rFonts w:ascii="仿宋_GB2312" w:eastAsia="仿宋_GB2312" w:hAnsi="Times New Roman"/>
                <w:sz w:val="28"/>
                <w:szCs w:val="28"/>
              </w:rPr>
            </w:pPr>
            <w:r>
              <w:rPr>
                <w:rFonts w:ascii="仿宋_GB2312" w:eastAsia="仿宋_GB2312" w:hAnsi="Times New Roman" w:hint="eastAsia"/>
                <w:sz w:val="28"/>
                <w:szCs w:val="28"/>
              </w:rPr>
              <w:t>案件名称</w:t>
            </w:r>
          </w:p>
        </w:tc>
        <w:tc>
          <w:tcPr>
            <w:tcW w:w="6949" w:type="dxa"/>
            <w:gridSpan w:val="2"/>
          </w:tcPr>
          <w:p w:rsidR="00B213FA" w:rsidRDefault="000677A1">
            <w:pPr>
              <w:spacing w:line="500" w:lineRule="exact"/>
              <w:rPr>
                <w:rFonts w:ascii="仿宋_GB2312" w:eastAsia="仿宋_GB2312" w:hAnsi="Times New Roman"/>
                <w:sz w:val="28"/>
                <w:szCs w:val="28"/>
              </w:rPr>
            </w:pPr>
            <w:r>
              <w:rPr>
                <w:rFonts w:ascii="仿宋_GB2312" w:eastAsia="仿宋_GB2312" w:hAnsi="Times New Roman" w:hint="eastAsia"/>
                <w:sz w:val="28"/>
                <w:szCs w:val="28"/>
              </w:rPr>
              <w:t>沙特国际石化公司收购撒哈拉石化公司股权</w:t>
            </w:r>
            <w:r w:rsidR="0050008B">
              <w:rPr>
                <w:rFonts w:ascii="仿宋_GB2312" w:eastAsia="仿宋_GB2312" w:hAnsi="Times New Roman" w:hint="eastAsia"/>
                <w:sz w:val="28"/>
                <w:szCs w:val="28"/>
              </w:rPr>
              <w:t>案</w:t>
            </w:r>
          </w:p>
        </w:tc>
      </w:tr>
      <w:tr w:rsidR="00B213FA">
        <w:trPr>
          <w:trHeight w:val="993"/>
        </w:trPr>
        <w:tc>
          <w:tcPr>
            <w:tcW w:w="1809" w:type="dxa"/>
            <w:shd w:val="clear" w:color="auto" w:fill="D9D9D9"/>
          </w:tcPr>
          <w:p w:rsidR="00B213FA" w:rsidRDefault="000677A1">
            <w:pPr>
              <w:spacing w:line="500" w:lineRule="exact"/>
              <w:rPr>
                <w:rFonts w:ascii="仿宋_GB2312" w:eastAsia="仿宋_GB2312" w:hAnsi="Times New Roman"/>
                <w:sz w:val="28"/>
                <w:szCs w:val="28"/>
              </w:rPr>
            </w:pPr>
            <w:r>
              <w:rPr>
                <w:rFonts w:ascii="仿宋_GB2312" w:eastAsia="仿宋_GB2312" w:hAnsi="Times New Roman" w:hint="eastAsia"/>
                <w:sz w:val="28"/>
                <w:szCs w:val="28"/>
              </w:rPr>
              <w:t>交易概况（限200字内）</w:t>
            </w:r>
          </w:p>
        </w:tc>
        <w:tc>
          <w:tcPr>
            <w:tcW w:w="6949" w:type="dxa"/>
            <w:gridSpan w:val="2"/>
          </w:tcPr>
          <w:p w:rsidR="00B213FA" w:rsidRDefault="000677A1">
            <w:pPr>
              <w:spacing w:line="500" w:lineRule="exact"/>
              <w:rPr>
                <w:rFonts w:ascii="仿宋_GB2312" w:eastAsia="仿宋_GB2312" w:hAnsi="Times New Roman"/>
                <w:sz w:val="28"/>
                <w:szCs w:val="28"/>
              </w:rPr>
            </w:pPr>
            <w:r>
              <w:rPr>
                <w:rFonts w:ascii="仿宋_GB2312" w:eastAsia="仿宋_GB2312" w:hAnsi="Times New Roman" w:hint="eastAsia"/>
                <w:sz w:val="28"/>
                <w:szCs w:val="28"/>
              </w:rPr>
              <w:t>沙特国际石化公司（“</w:t>
            </w:r>
            <w:r w:rsidRPr="007F4AA7">
              <w:rPr>
                <w:rFonts w:ascii="仿宋_GB2312" w:eastAsia="仿宋_GB2312" w:hAnsi="Times New Roman" w:hint="eastAsia"/>
                <w:b/>
                <w:sz w:val="28"/>
                <w:szCs w:val="28"/>
              </w:rPr>
              <w:t>沙特国际石化</w:t>
            </w:r>
            <w:r>
              <w:rPr>
                <w:rFonts w:ascii="仿宋_GB2312" w:eastAsia="仿宋_GB2312" w:hAnsi="Times New Roman" w:hint="eastAsia"/>
                <w:sz w:val="28"/>
                <w:szCs w:val="28"/>
              </w:rPr>
              <w:t>”）和撒哈拉石化公司（“</w:t>
            </w:r>
            <w:r w:rsidRPr="007F4AA7">
              <w:rPr>
                <w:rFonts w:ascii="仿宋_GB2312" w:eastAsia="仿宋_GB2312" w:hAnsi="Times New Roman" w:hint="eastAsia"/>
                <w:b/>
                <w:sz w:val="28"/>
                <w:szCs w:val="28"/>
              </w:rPr>
              <w:t>撒哈拉</w:t>
            </w:r>
            <w:r>
              <w:rPr>
                <w:rFonts w:ascii="仿宋_GB2312" w:eastAsia="仿宋_GB2312" w:hAnsi="Times New Roman" w:hint="eastAsia"/>
                <w:sz w:val="28"/>
                <w:szCs w:val="28"/>
              </w:rPr>
              <w:t>”）签署了由沙特国际石化发出建议要约收购撒哈拉全部发行股份换取沙特国际石化发行的新股的《执行协议》。根据该协议，沙特国际石化将收购撒哈拉的全部股本(</w:t>
            </w:r>
            <w:r>
              <w:rPr>
                <w:rFonts w:ascii="仿宋_GB2312" w:eastAsia="仿宋_GB2312" w:hAnsi="Times New Roman"/>
                <w:sz w:val="28"/>
                <w:szCs w:val="28"/>
              </w:rPr>
              <w:t>“</w:t>
            </w:r>
            <w:r w:rsidRPr="007F4AA7">
              <w:rPr>
                <w:rFonts w:ascii="仿宋_GB2312" w:eastAsia="仿宋_GB2312" w:hAnsi="Times New Roman" w:hint="eastAsia"/>
                <w:b/>
                <w:sz w:val="28"/>
                <w:szCs w:val="28"/>
              </w:rPr>
              <w:t>本次交易</w:t>
            </w:r>
            <w:r>
              <w:rPr>
                <w:rFonts w:ascii="仿宋_GB2312" w:eastAsia="仿宋_GB2312" w:hAnsi="Times New Roman"/>
                <w:sz w:val="28"/>
                <w:szCs w:val="28"/>
              </w:rPr>
              <w:t>”</w:t>
            </w:r>
            <w:r>
              <w:rPr>
                <w:rFonts w:ascii="仿宋_GB2312" w:eastAsia="仿宋_GB2312" w:hAnsi="Times New Roman" w:hint="eastAsia"/>
                <w:sz w:val="28"/>
                <w:szCs w:val="28"/>
              </w:rPr>
              <w:t>)。</w:t>
            </w:r>
          </w:p>
          <w:p w:rsidR="00B213FA" w:rsidRDefault="000677A1">
            <w:pPr>
              <w:spacing w:line="500" w:lineRule="exact"/>
              <w:rPr>
                <w:rFonts w:ascii="仿宋_GB2312" w:eastAsia="仿宋_GB2312" w:hAnsi="Times New Roman"/>
                <w:sz w:val="28"/>
                <w:szCs w:val="28"/>
              </w:rPr>
            </w:pPr>
            <w:r>
              <w:rPr>
                <w:rFonts w:ascii="仿宋_GB2312" w:eastAsia="仿宋_GB2312" w:hAnsi="Times New Roman" w:hint="eastAsia"/>
                <w:sz w:val="28"/>
                <w:szCs w:val="28"/>
              </w:rPr>
              <w:t>本次交易完成后，撒哈拉将成为沙特国际石化的全资子公司。</w:t>
            </w:r>
          </w:p>
        </w:tc>
      </w:tr>
      <w:tr w:rsidR="00B213FA">
        <w:trPr>
          <w:trHeight w:val="468"/>
        </w:trPr>
        <w:tc>
          <w:tcPr>
            <w:tcW w:w="1809" w:type="dxa"/>
            <w:vMerge w:val="restart"/>
            <w:shd w:val="clear" w:color="auto" w:fill="D9D9D9"/>
          </w:tcPr>
          <w:p w:rsidR="00B213FA" w:rsidRDefault="000677A1">
            <w:pPr>
              <w:spacing w:line="500" w:lineRule="exact"/>
              <w:rPr>
                <w:rFonts w:ascii="仿宋_GB2312" w:eastAsia="仿宋_GB2312" w:hAnsi="Times New Roman"/>
                <w:sz w:val="28"/>
                <w:szCs w:val="28"/>
              </w:rPr>
            </w:pPr>
            <w:r>
              <w:rPr>
                <w:rFonts w:ascii="仿宋_GB2312" w:eastAsia="仿宋_GB2312" w:hAnsi="Times New Roman" w:hint="eastAsia"/>
                <w:sz w:val="28"/>
                <w:szCs w:val="28"/>
              </w:rPr>
              <w:t>参与集中的经营者简介</w:t>
            </w:r>
          </w:p>
        </w:tc>
        <w:tc>
          <w:tcPr>
            <w:tcW w:w="1796" w:type="dxa"/>
          </w:tcPr>
          <w:p w:rsidR="00B213FA" w:rsidRDefault="000677A1">
            <w:pPr>
              <w:spacing w:line="500" w:lineRule="exact"/>
              <w:rPr>
                <w:rFonts w:ascii="仿宋_GB2312" w:eastAsia="仿宋_GB2312" w:hAnsi="Times New Roman"/>
                <w:sz w:val="28"/>
                <w:szCs w:val="28"/>
              </w:rPr>
            </w:pPr>
            <w:r>
              <w:rPr>
                <w:rFonts w:ascii="仿宋_GB2312" w:eastAsia="仿宋_GB2312" w:hAnsi="Times New Roman" w:hint="eastAsia"/>
                <w:sz w:val="28"/>
                <w:szCs w:val="28"/>
              </w:rPr>
              <w:t>1、沙特国际石化</w:t>
            </w:r>
          </w:p>
        </w:tc>
        <w:tc>
          <w:tcPr>
            <w:tcW w:w="5153" w:type="dxa"/>
          </w:tcPr>
          <w:p w:rsidR="00B213FA" w:rsidRDefault="000677A1">
            <w:pPr>
              <w:spacing w:line="500" w:lineRule="exact"/>
              <w:rPr>
                <w:rFonts w:ascii="仿宋_GB2312" w:eastAsia="仿宋_GB2312" w:hAnsi="Times New Roman"/>
                <w:sz w:val="28"/>
                <w:szCs w:val="28"/>
              </w:rPr>
            </w:pPr>
            <w:r>
              <w:rPr>
                <w:rFonts w:ascii="仿宋_GB2312" w:eastAsia="仿宋_GB2312" w:hAnsi="Times New Roman" w:hint="eastAsia"/>
                <w:sz w:val="28"/>
                <w:szCs w:val="28"/>
              </w:rPr>
              <w:t>沙特国际石化是一家于1999年在沙特阿拉伯王国成立的石化公司。沙特国际石化积极投资石化和化工行业，生产制造多种产品所需材料。</w:t>
            </w:r>
          </w:p>
        </w:tc>
      </w:tr>
      <w:tr w:rsidR="00B213FA">
        <w:trPr>
          <w:trHeight w:val="404"/>
        </w:trPr>
        <w:tc>
          <w:tcPr>
            <w:tcW w:w="1809" w:type="dxa"/>
            <w:vMerge/>
            <w:shd w:val="clear" w:color="auto" w:fill="D9D9D9"/>
          </w:tcPr>
          <w:p w:rsidR="00B213FA" w:rsidRDefault="00B213FA">
            <w:pPr>
              <w:spacing w:line="500" w:lineRule="exact"/>
              <w:rPr>
                <w:rFonts w:ascii="仿宋_GB2312" w:eastAsia="仿宋_GB2312" w:hAnsi="Times New Roman"/>
                <w:sz w:val="28"/>
                <w:szCs w:val="28"/>
              </w:rPr>
            </w:pPr>
          </w:p>
        </w:tc>
        <w:tc>
          <w:tcPr>
            <w:tcW w:w="1796" w:type="dxa"/>
          </w:tcPr>
          <w:p w:rsidR="00B213FA" w:rsidRDefault="000677A1">
            <w:pPr>
              <w:spacing w:line="500" w:lineRule="exact"/>
              <w:rPr>
                <w:rFonts w:ascii="仿宋_GB2312" w:eastAsia="仿宋_GB2312" w:hAnsi="Times New Roman"/>
                <w:sz w:val="28"/>
                <w:szCs w:val="28"/>
              </w:rPr>
            </w:pPr>
            <w:r>
              <w:rPr>
                <w:rFonts w:ascii="仿宋_GB2312" w:eastAsia="仿宋_GB2312" w:hAnsi="Times New Roman" w:hint="eastAsia"/>
                <w:sz w:val="28"/>
                <w:szCs w:val="28"/>
              </w:rPr>
              <w:t>2、撒哈拉</w:t>
            </w:r>
          </w:p>
        </w:tc>
        <w:tc>
          <w:tcPr>
            <w:tcW w:w="5153" w:type="dxa"/>
          </w:tcPr>
          <w:p w:rsidR="00B213FA" w:rsidRDefault="000677A1">
            <w:pPr>
              <w:spacing w:line="500" w:lineRule="exact"/>
              <w:rPr>
                <w:rFonts w:ascii="仿宋_GB2312" w:eastAsia="仿宋_GB2312" w:hAnsi="Times New Roman"/>
                <w:sz w:val="28"/>
                <w:szCs w:val="28"/>
              </w:rPr>
            </w:pPr>
            <w:r>
              <w:rPr>
                <w:rFonts w:ascii="仿宋_GB2312" w:eastAsia="仿宋_GB2312" w:hAnsi="Times New Roman" w:hint="eastAsia"/>
                <w:sz w:val="28"/>
                <w:szCs w:val="28"/>
              </w:rPr>
              <w:t>撒哈拉是一家于2004年在沙特阿拉伯王国成立的石化公司。撒哈拉的主要宗旨是进行工业项目投资，特别是对从事丙烯、聚丙烯、乙烯和聚乙烯及其他化学产品生产的化工和石化项目进行投资。</w:t>
            </w:r>
          </w:p>
        </w:tc>
      </w:tr>
      <w:tr w:rsidR="00B213FA">
        <w:trPr>
          <w:trHeight w:val="279"/>
        </w:trPr>
        <w:tc>
          <w:tcPr>
            <w:tcW w:w="1809" w:type="dxa"/>
            <w:vMerge w:val="restart"/>
            <w:shd w:val="clear" w:color="auto" w:fill="D9D9D9"/>
          </w:tcPr>
          <w:p w:rsidR="00B213FA" w:rsidRDefault="000677A1">
            <w:pPr>
              <w:spacing w:line="500" w:lineRule="exact"/>
              <w:rPr>
                <w:rFonts w:ascii="仿宋_GB2312" w:eastAsia="仿宋_GB2312" w:hAnsi="Times New Roman"/>
                <w:sz w:val="28"/>
                <w:szCs w:val="28"/>
              </w:rPr>
            </w:pPr>
            <w:r>
              <w:rPr>
                <w:rFonts w:ascii="仿宋_GB2312" w:eastAsia="仿宋_GB2312" w:hAnsi="Times New Roman" w:hint="eastAsia"/>
                <w:sz w:val="28"/>
                <w:szCs w:val="28"/>
              </w:rPr>
              <w:t>简易案件理由（可以单选，也可以多选）</w:t>
            </w:r>
          </w:p>
        </w:tc>
        <w:tc>
          <w:tcPr>
            <w:tcW w:w="6949" w:type="dxa"/>
            <w:gridSpan w:val="2"/>
          </w:tcPr>
          <w:p w:rsidR="00B213FA" w:rsidRDefault="000677A1">
            <w:pPr>
              <w:spacing w:line="500" w:lineRule="exact"/>
              <w:rPr>
                <w:rFonts w:ascii="仿宋_GB2312" w:eastAsia="仿宋_GB2312" w:hAnsi="Times New Roman"/>
                <w:sz w:val="28"/>
                <w:szCs w:val="28"/>
              </w:rPr>
            </w:pPr>
            <w:r>
              <w:rPr>
                <w:rFonts w:ascii="仿宋_GB2312" w:eastAsia="仿宋_GB2312" w:hAnsi="Times New Roman" w:hint="eastAsia"/>
                <w:sz w:val="28"/>
                <w:szCs w:val="28"/>
              </w:rPr>
              <w:t>□1、在同一相关市场，所有参与集中的经营者所占市场份额之和小于15%。</w:t>
            </w:r>
          </w:p>
        </w:tc>
      </w:tr>
      <w:tr w:rsidR="00B213FA">
        <w:trPr>
          <w:trHeight w:val="330"/>
        </w:trPr>
        <w:tc>
          <w:tcPr>
            <w:tcW w:w="1809" w:type="dxa"/>
            <w:vMerge/>
            <w:shd w:val="clear" w:color="auto" w:fill="D9D9D9"/>
          </w:tcPr>
          <w:p w:rsidR="00B213FA" w:rsidRDefault="00B213FA">
            <w:pPr>
              <w:spacing w:line="500" w:lineRule="exact"/>
              <w:rPr>
                <w:rFonts w:ascii="仿宋_GB2312" w:eastAsia="仿宋_GB2312" w:hAnsi="Times New Roman"/>
                <w:sz w:val="28"/>
                <w:szCs w:val="28"/>
              </w:rPr>
            </w:pPr>
          </w:p>
        </w:tc>
        <w:tc>
          <w:tcPr>
            <w:tcW w:w="6949" w:type="dxa"/>
            <w:gridSpan w:val="2"/>
          </w:tcPr>
          <w:p w:rsidR="00B213FA" w:rsidRDefault="000677A1">
            <w:pPr>
              <w:spacing w:line="500" w:lineRule="exact"/>
              <w:rPr>
                <w:rFonts w:ascii="仿宋_GB2312" w:eastAsia="仿宋_GB2312" w:hAnsi="Times New Roman"/>
                <w:sz w:val="28"/>
                <w:szCs w:val="28"/>
              </w:rPr>
            </w:pPr>
            <w:r>
              <w:rPr>
                <w:rFonts w:ascii="仿宋_GB2312" w:eastAsia="仿宋_GB2312" w:hAnsi="Times New Roman" w:hint="eastAsia"/>
                <w:sz w:val="28"/>
                <w:szCs w:val="28"/>
              </w:rPr>
              <w:t>□2、存在上下游关系的参与集中的经营者，在上下游市场所占的市场份额均小于25%。</w:t>
            </w:r>
          </w:p>
        </w:tc>
      </w:tr>
      <w:tr w:rsidR="00B213FA">
        <w:trPr>
          <w:trHeight w:val="285"/>
        </w:trPr>
        <w:tc>
          <w:tcPr>
            <w:tcW w:w="1809" w:type="dxa"/>
            <w:vMerge/>
            <w:shd w:val="clear" w:color="auto" w:fill="D9D9D9"/>
          </w:tcPr>
          <w:p w:rsidR="00B213FA" w:rsidRDefault="00B213FA">
            <w:pPr>
              <w:spacing w:line="500" w:lineRule="exact"/>
              <w:rPr>
                <w:rFonts w:ascii="仿宋_GB2312" w:eastAsia="仿宋_GB2312" w:hAnsi="Times New Roman"/>
                <w:sz w:val="28"/>
                <w:szCs w:val="28"/>
              </w:rPr>
            </w:pPr>
          </w:p>
        </w:tc>
        <w:tc>
          <w:tcPr>
            <w:tcW w:w="6949" w:type="dxa"/>
            <w:gridSpan w:val="2"/>
          </w:tcPr>
          <w:p w:rsidR="00B213FA" w:rsidRDefault="000677A1">
            <w:pPr>
              <w:spacing w:line="500" w:lineRule="exact"/>
              <w:rPr>
                <w:rFonts w:ascii="仿宋_GB2312" w:eastAsia="仿宋_GB2312" w:hAnsi="Times New Roman"/>
                <w:sz w:val="28"/>
                <w:szCs w:val="28"/>
              </w:rPr>
            </w:pPr>
            <w:r>
              <w:rPr>
                <w:rFonts w:ascii="仿宋" w:eastAsia="仿宋" w:hAnsi="仿宋"/>
                <w:sz w:val="28"/>
                <w:szCs w:val="28"/>
              </w:rPr>
              <w:sym w:font="Wingdings" w:char="F0FE"/>
            </w:r>
            <w:r>
              <w:rPr>
                <w:rFonts w:ascii="仿宋_GB2312" w:eastAsia="仿宋_GB2312" w:hAnsi="Times New Roman" w:hint="eastAsia"/>
                <w:sz w:val="28"/>
                <w:szCs w:val="28"/>
              </w:rPr>
              <w:t>3、不在同一相关市场、也不存在上下游关系的参与集中的经营者，在与交易有关的每个市场所占的份额均小于25%。</w:t>
            </w:r>
          </w:p>
        </w:tc>
      </w:tr>
      <w:tr w:rsidR="00B213FA">
        <w:trPr>
          <w:trHeight w:val="870"/>
        </w:trPr>
        <w:tc>
          <w:tcPr>
            <w:tcW w:w="1809" w:type="dxa"/>
            <w:vMerge/>
            <w:shd w:val="clear" w:color="auto" w:fill="D9D9D9"/>
          </w:tcPr>
          <w:p w:rsidR="00B213FA" w:rsidRDefault="00B213FA">
            <w:pPr>
              <w:spacing w:line="500" w:lineRule="exact"/>
              <w:rPr>
                <w:rFonts w:ascii="仿宋_GB2312" w:eastAsia="仿宋_GB2312" w:hAnsi="Times New Roman"/>
                <w:sz w:val="28"/>
                <w:szCs w:val="28"/>
              </w:rPr>
            </w:pPr>
          </w:p>
        </w:tc>
        <w:tc>
          <w:tcPr>
            <w:tcW w:w="6949" w:type="dxa"/>
            <w:gridSpan w:val="2"/>
          </w:tcPr>
          <w:p w:rsidR="00B213FA" w:rsidRDefault="000677A1">
            <w:pPr>
              <w:spacing w:line="500" w:lineRule="exact"/>
              <w:rPr>
                <w:rFonts w:ascii="仿宋_GB2312" w:eastAsia="仿宋_GB2312" w:hAnsi="Times New Roman"/>
                <w:sz w:val="28"/>
                <w:szCs w:val="28"/>
              </w:rPr>
            </w:pPr>
            <w:r>
              <w:rPr>
                <w:rFonts w:ascii="仿宋_GB2312" w:eastAsia="仿宋_GB2312" w:hAnsi="Times New Roman" w:hint="eastAsia"/>
                <w:sz w:val="28"/>
                <w:szCs w:val="28"/>
              </w:rPr>
              <w:t>□4、参与集中的经营者在中国境外设立合营企业，合营企业不在中国境内从事经济活动。</w:t>
            </w:r>
          </w:p>
        </w:tc>
      </w:tr>
      <w:tr w:rsidR="00B213FA">
        <w:trPr>
          <w:trHeight w:val="264"/>
        </w:trPr>
        <w:tc>
          <w:tcPr>
            <w:tcW w:w="1809" w:type="dxa"/>
            <w:vMerge/>
            <w:shd w:val="clear" w:color="auto" w:fill="D9D9D9"/>
          </w:tcPr>
          <w:p w:rsidR="00B213FA" w:rsidRDefault="00B213FA">
            <w:pPr>
              <w:spacing w:line="500" w:lineRule="exact"/>
              <w:rPr>
                <w:rFonts w:ascii="仿宋_GB2312" w:eastAsia="仿宋_GB2312" w:hAnsi="Times New Roman"/>
                <w:sz w:val="28"/>
                <w:szCs w:val="28"/>
              </w:rPr>
            </w:pPr>
          </w:p>
        </w:tc>
        <w:tc>
          <w:tcPr>
            <w:tcW w:w="6949" w:type="dxa"/>
            <w:gridSpan w:val="2"/>
          </w:tcPr>
          <w:p w:rsidR="00B213FA" w:rsidRDefault="000677A1">
            <w:pPr>
              <w:spacing w:line="500" w:lineRule="exact"/>
              <w:rPr>
                <w:rFonts w:ascii="仿宋_GB2312" w:eastAsia="仿宋_GB2312" w:hAnsi="Times New Roman"/>
                <w:sz w:val="28"/>
                <w:szCs w:val="28"/>
              </w:rPr>
            </w:pPr>
            <w:r>
              <w:rPr>
                <w:rFonts w:ascii="仿宋_GB2312" w:eastAsia="仿宋_GB2312" w:hAnsi="Times New Roman" w:hint="eastAsia"/>
                <w:sz w:val="28"/>
                <w:szCs w:val="28"/>
              </w:rPr>
              <w:t>□5、参与集中的经营者收购境外企业股权或资产的，该境外企业不在中国境内从事经济活动。</w:t>
            </w:r>
          </w:p>
        </w:tc>
      </w:tr>
      <w:tr w:rsidR="00B213FA">
        <w:trPr>
          <w:trHeight w:val="345"/>
        </w:trPr>
        <w:tc>
          <w:tcPr>
            <w:tcW w:w="1809" w:type="dxa"/>
            <w:vMerge/>
            <w:shd w:val="clear" w:color="auto" w:fill="D9D9D9"/>
          </w:tcPr>
          <w:p w:rsidR="00B213FA" w:rsidRDefault="00B213FA">
            <w:pPr>
              <w:spacing w:line="500" w:lineRule="exact"/>
              <w:rPr>
                <w:rFonts w:ascii="仿宋_GB2312" w:eastAsia="仿宋_GB2312" w:hAnsi="Times New Roman"/>
                <w:sz w:val="28"/>
                <w:szCs w:val="28"/>
              </w:rPr>
            </w:pPr>
          </w:p>
        </w:tc>
        <w:tc>
          <w:tcPr>
            <w:tcW w:w="6949" w:type="dxa"/>
            <w:gridSpan w:val="2"/>
          </w:tcPr>
          <w:p w:rsidR="00B213FA" w:rsidRDefault="000677A1">
            <w:pPr>
              <w:spacing w:line="500" w:lineRule="exact"/>
              <w:rPr>
                <w:rFonts w:ascii="仿宋_GB2312" w:eastAsia="仿宋_GB2312" w:hAnsi="Times New Roman"/>
                <w:sz w:val="28"/>
                <w:szCs w:val="28"/>
              </w:rPr>
            </w:pPr>
            <w:r>
              <w:rPr>
                <w:rFonts w:ascii="仿宋_GB2312" w:eastAsia="仿宋_GB2312" w:hAnsi="Times New Roman" w:hint="eastAsia"/>
                <w:sz w:val="28"/>
                <w:szCs w:val="28"/>
              </w:rPr>
              <w:t>□6、由两个以上的经营者共同控制的合营企业，通过集中被其中一个或一个以上经营者控制。</w:t>
            </w:r>
          </w:p>
        </w:tc>
        <w:bookmarkStart w:id="0" w:name="_GoBack"/>
        <w:bookmarkEnd w:id="0"/>
      </w:tr>
      <w:tr w:rsidR="00B213FA">
        <w:tc>
          <w:tcPr>
            <w:tcW w:w="1809" w:type="dxa"/>
            <w:shd w:val="clear" w:color="auto" w:fill="D9D9D9"/>
          </w:tcPr>
          <w:p w:rsidR="00B213FA" w:rsidRDefault="000677A1">
            <w:pPr>
              <w:spacing w:line="500" w:lineRule="exact"/>
              <w:rPr>
                <w:rFonts w:ascii="仿宋_GB2312" w:eastAsia="仿宋_GB2312" w:hAnsi="Times New Roman"/>
                <w:sz w:val="28"/>
                <w:szCs w:val="28"/>
              </w:rPr>
            </w:pPr>
            <w:r>
              <w:rPr>
                <w:rFonts w:ascii="仿宋_GB2312" w:eastAsia="仿宋_GB2312" w:hAnsi="Times New Roman" w:hint="eastAsia"/>
                <w:sz w:val="28"/>
                <w:szCs w:val="28"/>
              </w:rPr>
              <w:t>备注</w:t>
            </w:r>
          </w:p>
        </w:tc>
        <w:tc>
          <w:tcPr>
            <w:tcW w:w="6949" w:type="dxa"/>
            <w:gridSpan w:val="2"/>
          </w:tcPr>
          <w:tbl>
            <w:tblPr>
              <w:tblW w:w="6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0"/>
              <w:gridCol w:w="1785"/>
              <w:gridCol w:w="2783"/>
            </w:tblGrid>
            <w:tr w:rsidR="00B213FA">
              <w:tc>
                <w:tcPr>
                  <w:tcW w:w="1840" w:type="dxa"/>
                  <w:tcBorders>
                    <w:top w:val="single" w:sz="4" w:space="0" w:color="auto"/>
                    <w:left w:val="single" w:sz="4" w:space="0" w:color="auto"/>
                    <w:bottom w:val="single" w:sz="4" w:space="0" w:color="auto"/>
                    <w:right w:val="single" w:sz="4" w:space="0" w:color="auto"/>
                  </w:tcBorders>
                  <w:shd w:val="clear" w:color="auto" w:fill="auto"/>
                </w:tcPr>
                <w:p w:rsidR="00B213FA" w:rsidRDefault="000677A1">
                  <w:pPr>
                    <w:widowControl/>
                    <w:snapToGrid w:val="0"/>
                    <w:jc w:val="center"/>
                    <w:rPr>
                      <w:rFonts w:ascii="仿宋" w:eastAsia="仿宋" w:hAnsi="仿宋" w:cs="仿宋"/>
                      <w:b/>
                      <w:sz w:val="28"/>
                      <w:szCs w:val="28"/>
                      <w:lang w:bidi="ar"/>
                    </w:rPr>
                  </w:pPr>
                  <w:r>
                    <w:rPr>
                      <w:rFonts w:ascii="仿宋" w:eastAsia="仿宋" w:hAnsi="仿宋" w:cs="仿宋" w:hint="eastAsia"/>
                      <w:b/>
                      <w:sz w:val="28"/>
                      <w:szCs w:val="28"/>
                      <w:lang w:bidi="ar"/>
                    </w:rPr>
                    <w:t>相关产品</w:t>
                  </w:r>
                </w:p>
                <w:p w:rsidR="00B213FA" w:rsidRDefault="000677A1">
                  <w:pPr>
                    <w:widowControl/>
                    <w:snapToGrid w:val="0"/>
                    <w:jc w:val="center"/>
                    <w:rPr>
                      <w:rFonts w:ascii="仿宋" w:eastAsia="仿宋" w:hAnsi="仿宋" w:cs="仿宋"/>
                      <w:b/>
                      <w:sz w:val="28"/>
                      <w:szCs w:val="28"/>
                    </w:rPr>
                  </w:pPr>
                  <w:r>
                    <w:rPr>
                      <w:rFonts w:ascii="仿宋" w:eastAsia="仿宋" w:hAnsi="仿宋" w:cs="仿宋" w:hint="eastAsia"/>
                      <w:b/>
                      <w:sz w:val="28"/>
                      <w:szCs w:val="28"/>
                      <w:lang w:bidi="ar"/>
                    </w:rPr>
                    <w:t>市场</w:t>
                  </w:r>
                </w:p>
              </w:tc>
              <w:tc>
                <w:tcPr>
                  <w:tcW w:w="1785" w:type="dxa"/>
                  <w:tcBorders>
                    <w:top w:val="single" w:sz="4" w:space="0" w:color="auto"/>
                    <w:left w:val="single" w:sz="4" w:space="0" w:color="auto"/>
                    <w:bottom w:val="single" w:sz="4" w:space="0" w:color="auto"/>
                    <w:right w:val="single" w:sz="4" w:space="0" w:color="auto"/>
                  </w:tcBorders>
                  <w:shd w:val="clear" w:color="auto" w:fill="auto"/>
                </w:tcPr>
                <w:p w:rsidR="00B213FA" w:rsidRDefault="000677A1">
                  <w:pPr>
                    <w:widowControl/>
                    <w:snapToGrid w:val="0"/>
                    <w:jc w:val="center"/>
                    <w:rPr>
                      <w:rFonts w:ascii="仿宋" w:eastAsia="仿宋" w:hAnsi="仿宋" w:cs="仿宋"/>
                      <w:b/>
                      <w:sz w:val="28"/>
                      <w:szCs w:val="28"/>
                      <w:lang w:bidi="ar"/>
                    </w:rPr>
                  </w:pPr>
                  <w:r>
                    <w:rPr>
                      <w:rFonts w:ascii="仿宋" w:eastAsia="仿宋" w:hAnsi="仿宋" w:cs="仿宋" w:hint="eastAsia"/>
                      <w:b/>
                      <w:sz w:val="28"/>
                      <w:szCs w:val="28"/>
                      <w:lang w:bidi="ar"/>
                    </w:rPr>
                    <w:t>相关地域</w:t>
                  </w:r>
                </w:p>
                <w:p w:rsidR="00B213FA" w:rsidRDefault="000677A1">
                  <w:pPr>
                    <w:widowControl/>
                    <w:snapToGrid w:val="0"/>
                    <w:jc w:val="center"/>
                    <w:rPr>
                      <w:rFonts w:ascii="仿宋" w:eastAsia="仿宋" w:hAnsi="仿宋" w:cs="仿宋"/>
                      <w:b/>
                      <w:sz w:val="28"/>
                      <w:szCs w:val="28"/>
                    </w:rPr>
                  </w:pPr>
                  <w:r>
                    <w:rPr>
                      <w:rFonts w:ascii="仿宋" w:eastAsia="仿宋" w:hAnsi="仿宋" w:cs="仿宋" w:hint="eastAsia"/>
                      <w:b/>
                      <w:sz w:val="28"/>
                      <w:szCs w:val="28"/>
                      <w:lang w:bidi="ar"/>
                    </w:rPr>
                    <w:t>市场</w:t>
                  </w:r>
                </w:p>
              </w:tc>
              <w:tc>
                <w:tcPr>
                  <w:tcW w:w="2783" w:type="dxa"/>
                  <w:tcBorders>
                    <w:top w:val="single" w:sz="4" w:space="0" w:color="auto"/>
                    <w:left w:val="single" w:sz="4" w:space="0" w:color="auto"/>
                    <w:bottom w:val="single" w:sz="4" w:space="0" w:color="auto"/>
                    <w:right w:val="single" w:sz="4" w:space="0" w:color="auto"/>
                  </w:tcBorders>
                  <w:shd w:val="clear" w:color="auto" w:fill="auto"/>
                </w:tcPr>
                <w:p w:rsidR="00B213FA" w:rsidRDefault="000677A1">
                  <w:pPr>
                    <w:widowControl/>
                    <w:snapToGrid w:val="0"/>
                    <w:jc w:val="center"/>
                    <w:rPr>
                      <w:rFonts w:ascii="仿宋" w:eastAsia="仿宋" w:hAnsi="仿宋" w:cs="仿宋"/>
                      <w:b/>
                      <w:sz w:val="28"/>
                      <w:szCs w:val="28"/>
                    </w:rPr>
                  </w:pPr>
                  <w:r>
                    <w:rPr>
                      <w:rFonts w:ascii="仿宋" w:eastAsia="仿宋" w:hAnsi="仿宋" w:cs="仿宋" w:hint="eastAsia"/>
                      <w:b/>
                      <w:sz w:val="28"/>
                      <w:szCs w:val="28"/>
                      <w:lang w:bidi="ar"/>
                    </w:rPr>
                    <w:t>市场份额</w:t>
                  </w:r>
                </w:p>
              </w:tc>
            </w:tr>
            <w:tr w:rsidR="00B213FA">
              <w:trPr>
                <w:trHeight w:val="1101"/>
              </w:trPr>
              <w:tc>
                <w:tcPr>
                  <w:tcW w:w="1840" w:type="dxa"/>
                  <w:tcBorders>
                    <w:top w:val="single" w:sz="4" w:space="0" w:color="auto"/>
                    <w:left w:val="single" w:sz="4" w:space="0" w:color="auto"/>
                    <w:right w:val="single" w:sz="4" w:space="0" w:color="auto"/>
                  </w:tcBorders>
                  <w:shd w:val="clear" w:color="auto" w:fill="auto"/>
                </w:tcPr>
                <w:p w:rsidR="00B213FA" w:rsidRDefault="000677A1">
                  <w:pPr>
                    <w:snapToGrid w:val="0"/>
                    <w:spacing w:before="120" w:after="120"/>
                    <w:jc w:val="left"/>
                    <w:rPr>
                      <w:rFonts w:ascii="仿宋" w:eastAsia="仿宋" w:hAnsi="仿宋" w:cs="仿宋"/>
                      <w:sz w:val="28"/>
                      <w:szCs w:val="28"/>
                    </w:rPr>
                  </w:pPr>
                  <w:r>
                    <w:rPr>
                      <w:rFonts w:ascii="仿宋" w:eastAsia="仿宋" w:hAnsi="仿宋" w:cs="仿宋" w:hint="eastAsia"/>
                      <w:sz w:val="28"/>
                      <w:szCs w:val="28"/>
                    </w:rPr>
                    <w:t>二氯化乙烯</w:t>
                  </w:r>
                </w:p>
              </w:tc>
              <w:tc>
                <w:tcPr>
                  <w:tcW w:w="1785" w:type="dxa"/>
                  <w:tcBorders>
                    <w:top w:val="single" w:sz="4" w:space="0" w:color="auto"/>
                    <w:left w:val="single" w:sz="4" w:space="0" w:color="auto"/>
                    <w:right w:val="single" w:sz="4" w:space="0" w:color="auto"/>
                  </w:tcBorders>
                  <w:shd w:val="clear" w:color="auto" w:fill="auto"/>
                </w:tcPr>
                <w:p w:rsidR="00B213FA" w:rsidRDefault="000677A1">
                  <w:pPr>
                    <w:ind w:firstLineChars="100" w:firstLine="280"/>
                    <w:rPr>
                      <w:rFonts w:ascii="仿宋" w:eastAsia="仿宋" w:hAnsi="仿宋" w:cs="仿宋"/>
                      <w:sz w:val="28"/>
                      <w:szCs w:val="28"/>
                    </w:rPr>
                  </w:pPr>
                  <w:r>
                    <w:rPr>
                      <w:rFonts w:ascii="仿宋" w:eastAsia="仿宋" w:hAnsi="仿宋" w:cs="仿宋" w:hint="eastAsia"/>
                      <w:sz w:val="28"/>
                      <w:szCs w:val="28"/>
                    </w:rPr>
                    <w:t>全球</w:t>
                  </w:r>
                </w:p>
              </w:tc>
              <w:tc>
                <w:tcPr>
                  <w:tcW w:w="2783" w:type="dxa"/>
                  <w:tcBorders>
                    <w:top w:val="single" w:sz="4" w:space="0" w:color="auto"/>
                    <w:left w:val="single" w:sz="4" w:space="0" w:color="auto"/>
                    <w:bottom w:val="single" w:sz="4" w:space="0" w:color="auto"/>
                    <w:right w:val="single" w:sz="4" w:space="0" w:color="auto"/>
                  </w:tcBorders>
                  <w:shd w:val="clear" w:color="auto" w:fill="auto"/>
                </w:tcPr>
                <w:p w:rsidR="00B213FA" w:rsidRDefault="00AF1C26" w:rsidP="00B17A0E">
                  <w:pPr>
                    <w:widowControl/>
                    <w:snapToGrid w:val="0"/>
                    <w:spacing w:before="120" w:after="120"/>
                    <w:jc w:val="left"/>
                    <w:rPr>
                      <w:rFonts w:ascii="仿宋" w:eastAsia="仿宋" w:hAnsi="仿宋" w:cs="仿宋"/>
                      <w:sz w:val="28"/>
                      <w:szCs w:val="28"/>
                      <w:lang w:bidi="ar"/>
                    </w:rPr>
                  </w:pPr>
                  <w:r>
                    <w:rPr>
                      <w:rFonts w:ascii="仿宋" w:eastAsia="仿宋" w:hAnsi="仿宋" w:cs="仿宋" w:hint="eastAsia"/>
                      <w:sz w:val="28"/>
                      <w:szCs w:val="28"/>
                      <w:lang w:bidi="ar"/>
                    </w:rPr>
                    <w:t>撒</w:t>
                  </w:r>
                  <w:r w:rsidR="000677A1">
                    <w:rPr>
                      <w:rFonts w:ascii="仿宋" w:eastAsia="仿宋" w:hAnsi="仿宋" w:cs="仿宋" w:hint="eastAsia"/>
                      <w:sz w:val="28"/>
                      <w:szCs w:val="28"/>
                      <w:lang w:bidi="ar"/>
                    </w:rPr>
                    <w:t>哈拉：[5-10]%</w:t>
                  </w:r>
                </w:p>
              </w:tc>
            </w:tr>
            <w:tr w:rsidR="00B213FA">
              <w:trPr>
                <w:trHeight w:val="1135"/>
              </w:trPr>
              <w:tc>
                <w:tcPr>
                  <w:tcW w:w="1840" w:type="dxa"/>
                  <w:tcBorders>
                    <w:top w:val="single" w:sz="4" w:space="0" w:color="auto"/>
                    <w:left w:val="single" w:sz="4" w:space="0" w:color="auto"/>
                    <w:right w:val="single" w:sz="4" w:space="0" w:color="auto"/>
                  </w:tcBorders>
                  <w:shd w:val="clear" w:color="auto" w:fill="auto"/>
                </w:tcPr>
                <w:p w:rsidR="00B213FA" w:rsidRDefault="000677A1">
                  <w:pPr>
                    <w:snapToGrid w:val="0"/>
                    <w:spacing w:before="120" w:after="120"/>
                    <w:jc w:val="left"/>
                    <w:rPr>
                      <w:rFonts w:ascii="仿宋" w:eastAsia="仿宋" w:hAnsi="仿宋" w:cs="仿宋"/>
                      <w:bCs/>
                      <w:color w:val="0000CC"/>
                      <w:sz w:val="28"/>
                      <w:szCs w:val="28"/>
                    </w:rPr>
                  </w:pPr>
                  <w:r>
                    <w:rPr>
                      <w:rFonts w:ascii="仿宋" w:eastAsia="仿宋" w:hAnsi="仿宋" w:cs="仿宋" w:hint="eastAsia"/>
                      <w:sz w:val="28"/>
                      <w:szCs w:val="28"/>
                    </w:rPr>
                    <w:t>聚丙烯树脂</w:t>
                  </w:r>
                </w:p>
              </w:tc>
              <w:tc>
                <w:tcPr>
                  <w:tcW w:w="1785" w:type="dxa"/>
                  <w:tcBorders>
                    <w:top w:val="single" w:sz="4" w:space="0" w:color="auto"/>
                    <w:left w:val="single" w:sz="4" w:space="0" w:color="auto"/>
                    <w:right w:val="single" w:sz="4" w:space="0" w:color="auto"/>
                  </w:tcBorders>
                  <w:shd w:val="clear" w:color="auto" w:fill="auto"/>
                </w:tcPr>
                <w:p w:rsidR="00B213FA" w:rsidRDefault="00AF1C26" w:rsidP="00B17A0E">
                  <w:pPr>
                    <w:ind w:firstLineChars="100" w:firstLine="280"/>
                    <w:rPr>
                      <w:rFonts w:ascii="仿宋" w:eastAsia="仿宋" w:hAnsi="仿宋" w:cs="仿宋"/>
                      <w:sz w:val="28"/>
                      <w:szCs w:val="28"/>
                    </w:rPr>
                  </w:pPr>
                  <w:r>
                    <w:rPr>
                      <w:rFonts w:ascii="仿宋" w:eastAsia="仿宋" w:hAnsi="仿宋" w:cs="仿宋" w:hint="eastAsia"/>
                      <w:sz w:val="28"/>
                      <w:szCs w:val="28"/>
                      <w:lang w:bidi="ar"/>
                    </w:rPr>
                    <w:t>全球</w:t>
                  </w:r>
                </w:p>
              </w:tc>
              <w:tc>
                <w:tcPr>
                  <w:tcW w:w="2783" w:type="dxa"/>
                  <w:tcBorders>
                    <w:top w:val="single" w:sz="4" w:space="0" w:color="auto"/>
                    <w:left w:val="single" w:sz="4" w:space="0" w:color="auto"/>
                    <w:bottom w:val="single" w:sz="4" w:space="0" w:color="auto"/>
                    <w:right w:val="single" w:sz="4" w:space="0" w:color="auto"/>
                  </w:tcBorders>
                  <w:shd w:val="clear" w:color="auto" w:fill="auto"/>
                </w:tcPr>
                <w:p w:rsidR="00B213FA" w:rsidRDefault="00AF1C26">
                  <w:pPr>
                    <w:rPr>
                      <w:rFonts w:ascii="仿宋" w:eastAsia="仿宋" w:hAnsi="仿宋" w:cs="仿宋"/>
                      <w:sz w:val="28"/>
                      <w:szCs w:val="28"/>
                      <w:lang w:bidi="ar"/>
                    </w:rPr>
                  </w:pPr>
                  <w:r>
                    <w:rPr>
                      <w:rFonts w:ascii="仿宋" w:eastAsia="仿宋" w:hAnsi="仿宋" w:cs="仿宋" w:hint="eastAsia"/>
                      <w:sz w:val="28"/>
                      <w:szCs w:val="28"/>
                      <w:lang w:bidi="ar"/>
                    </w:rPr>
                    <w:t>撒</w:t>
                  </w:r>
                  <w:r w:rsidR="000677A1">
                    <w:rPr>
                      <w:rFonts w:ascii="仿宋" w:eastAsia="仿宋" w:hAnsi="仿宋" w:cs="仿宋" w:hint="eastAsia"/>
                      <w:sz w:val="28"/>
                      <w:szCs w:val="28"/>
                      <w:lang w:bidi="ar"/>
                    </w:rPr>
                    <w:t>哈拉：[0-5]%</w:t>
                  </w:r>
                </w:p>
              </w:tc>
            </w:tr>
          </w:tbl>
          <w:p w:rsidR="00B213FA" w:rsidRDefault="00B213FA">
            <w:pPr>
              <w:numPr>
                <w:ilvl w:val="255"/>
                <w:numId w:val="0"/>
              </w:numPr>
              <w:spacing w:line="500" w:lineRule="exact"/>
              <w:ind w:left="360"/>
              <w:rPr>
                <w:rFonts w:ascii="仿宋_GB2312" w:eastAsia="仿宋_GB2312" w:hAnsi="Times New Roman"/>
                <w:sz w:val="28"/>
                <w:szCs w:val="28"/>
              </w:rPr>
            </w:pPr>
          </w:p>
        </w:tc>
      </w:tr>
    </w:tbl>
    <w:p w:rsidR="00B213FA" w:rsidRDefault="00B213FA">
      <w:pPr>
        <w:snapToGrid w:val="0"/>
        <w:spacing w:line="240" w:lineRule="exact"/>
        <w:jc w:val="left"/>
        <w:rPr>
          <w:rFonts w:ascii="楷体_GB2312" w:eastAsia="楷体_GB2312" w:hAnsi="宋体"/>
          <w:sz w:val="24"/>
          <w:szCs w:val="24"/>
        </w:rPr>
      </w:pPr>
    </w:p>
    <w:p w:rsidR="00B213FA" w:rsidRDefault="000677A1">
      <w:pPr>
        <w:snapToGrid w:val="0"/>
        <w:spacing w:line="240" w:lineRule="exact"/>
        <w:jc w:val="left"/>
        <w:rPr>
          <w:rFonts w:ascii="楷体_GB2312" w:eastAsia="楷体_GB2312" w:hAnsi="宋体"/>
          <w:sz w:val="24"/>
          <w:szCs w:val="24"/>
        </w:rPr>
      </w:pPr>
      <w:r>
        <w:rPr>
          <w:rFonts w:ascii="楷体_GB2312" w:eastAsia="楷体_GB2312" w:hAnsi="宋体" w:hint="eastAsia"/>
          <w:sz w:val="24"/>
          <w:szCs w:val="24"/>
        </w:rPr>
        <w:t>注解：</w:t>
      </w:r>
    </w:p>
    <w:p w:rsidR="00B213FA" w:rsidRDefault="000677A1">
      <w:pPr>
        <w:snapToGrid w:val="0"/>
        <w:spacing w:line="360" w:lineRule="auto"/>
        <w:ind w:firstLineChars="200" w:firstLine="480"/>
        <w:jc w:val="left"/>
        <w:rPr>
          <w:rFonts w:ascii="楷体_GB2312" w:eastAsia="楷体_GB2312" w:hAnsi="宋体"/>
          <w:sz w:val="24"/>
          <w:szCs w:val="24"/>
        </w:rPr>
      </w:pPr>
      <w:r>
        <w:rPr>
          <w:rFonts w:ascii="楷体_GB2312" w:eastAsia="楷体_GB2312" w:hAnsi="宋体" w:hint="eastAsia"/>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rsidR="00B213FA" w:rsidRDefault="000677A1">
      <w:pPr>
        <w:spacing w:line="360" w:lineRule="auto"/>
        <w:ind w:firstLineChars="200" w:firstLine="480"/>
        <w:rPr>
          <w:rFonts w:ascii="楷体_GB2312" w:eastAsia="楷体_GB2312" w:hAnsi="Times New Roman"/>
          <w:sz w:val="28"/>
          <w:szCs w:val="28"/>
        </w:rPr>
      </w:pPr>
      <w:r>
        <w:rPr>
          <w:rFonts w:ascii="楷体_GB2312" w:eastAsia="楷体_GB2312" w:hAnsi="宋体" w:hint="eastAsia"/>
          <w:sz w:val="24"/>
          <w:szCs w:val="24"/>
        </w:rPr>
        <w:t>2、申报方申请简易案件的理由是基于第4项、第5项时，无须在备注中说明相关市场和市场份额。</w:t>
      </w:r>
      <w:r>
        <w:rPr>
          <w:rFonts w:ascii="楷体_GB2312" w:eastAsia="楷体_GB2312" w:hAnsi="宋体" w:hint="eastAsia"/>
          <w:sz w:val="24"/>
          <w:szCs w:val="24"/>
        </w:rPr>
        <w:br/>
        <w:t xml:space="preserve">    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p w:rsidR="00B213FA" w:rsidRDefault="00B213FA"/>
    <w:sectPr w:rsidR="00B213F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57402" w:rsidRDefault="00E57402">
      <w:r>
        <w:separator/>
      </w:r>
    </w:p>
  </w:endnote>
  <w:endnote w:type="continuationSeparator" w:id="0">
    <w:p w:rsidR="00E57402" w:rsidRDefault="00E574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00"/>
    <w:family w:val="auto"/>
    <w:pitch w:val="default"/>
  </w:font>
  <w:font w:name="仿宋">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1" w:usb1="080E0000" w:usb2="00000010" w:usb3="00000000" w:csb0="00040000"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57402" w:rsidRDefault="00E57402">
      <w:r>
        <w:separator/>
      </w:r>
    </w:p>
  </w:footnote>
  <w:footnote w:type="continuationSeparator" w:id="0">
    <w:p w:rsidR="00E57402" w:rsidRDefault="00E574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531C02"/>
    <w:multiLevelType w:val="multilevel"/>
    <w:tmpl w:val="1E531C0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94095"/>
    <w:rsid w:val="00062883"/>
    <w:rsid w:val="000677A1"/>
    <w:rsid w:val="00094095"/>
    <w:rsid w:val="001817A6"/>
    <w:rsid w:val="001B075F"/>
    <w:rsid w:val="001B7E7E"/>
    <w:rsid w:val="00227F06"/>
    <w:rsid w:val="00241A13"/>
    <w:rsid w:val="00245776"/>
    <w:rsid w:val="00256294"/>
    <w:rsid w:val="002A42EA"/>
    <w:rsid w:val="002F2D60"/>
    <w:rsid w:val="00307976"/>
    <w:rsid w:val="00331C99"/>
    <w:rsid w:val="003C7FF8"/>
    <w:rsid w:val="00425AA7"/>
    <w:rsid w:val="00462174"/>
    <w:rsid w:val="00465F7D"/>
    <w:rsid w:val="004D7422"/>
    <w:rsid w:val="004F0093"/>
    <w:rsid w:val="0050008B"/>
    <w:rsid w:val="005F167B"/>
    <w:rsid w:val="0068176E"/>
    <w:rsid w:val="006A2DBD"/>
    <w:rsid w:val="006C1EAD"/>
    <w:rsid w:val="00717514"/>
    <w:rsid w:val="007A5907"/>
    <w:rsid w:val="007F4AA7"/>
    <w:rsid w:val="008D4B04"/>
    <w:rsid w:val="009F47D0"/>
    <w:rsid w:val="00AF1C26"/>
    <w:rsid w:val="00B00491"/>
    <w:rsid w:val="00B17A0E"/>
    <w:rsid w:val="00B213FA"/>
    <w:rsid w:val="00BA0750"/>
    <w:rsid w:val="00BB2377"/>
    <w:rsid w:val="00C9068E"/>
    <w:rsid w:val="00D1102E"/>
    <w:rsid w:val="00D14B81"/>
    <w:rsid w:val="00D21777"/>
    <w:rsid w:val="00D75D78"/>
    <w:rsid w:val="00D92D33"/>
    <w:rsid w:val="00E57402"/>
    <w:rsid w:val="00ED21B1"/>
    <w:rsid w:val="00F30594"/>
    <w:rsid w:val="00F67F9E"/>
    <w:rsid w:val="00F87C1F"/>
    <w:rsid w:val="00FF6EE8"/>
    <w:rsid w:val="2F4F47AE"/>
    <w:rsid w:val="6BC06289"/>
    <w:rsid w:val="6CC41F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9D7935"/>
  <w15:docId w15:val="{A7407469-0655-4A1A-9E16-F7E484109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basedOn w:val="a"/>
    <w:link w:val="a4"/>
    <w:uiPriority w:val="99"/>
    <w:semiHidden/>
    <w:unhideWhenUsed/>
    <w:pPr>
      <w:snapToGrid w:val="0"/>
      <w:jc w:val="left"/>
    </w:pPr>
  </w:style>
  <w:style w:type="paragraph" w:styleId="a5">
    <w:name w:val="Balloon Text"/>
    <w:basedOn w:val="a"/>
    <w:link w:val="a6"/>
    <w:uiPriority w:val="99"/>
    <w:semiHidden/>
    <w:unhideWhenUsed/>
    <w:rPr>
      <w:rFonts w:ascii="Tahoma" w:hAnsi="Tahoma" w:cs="Tahoma"/>
      <w:sz w:val="16"/>
      <w:szCs w:val="16"/>
    </w:rPr>
  </w:style>
  <w:style w:type="paragraph" w:styleId="a7">
    <w:name w:val="footer"/>
    <w:basedOn w:val="a"/>
    <w:link w:val="a8"/>
    <w:uiPriority w:val="99"/>
    <w:unhideWhenUsed/>
    <w:pPr>
      <w:tabs>
        <w:tab w:val="center" w:pos="4153"/>
        <w:tab w:val="right" w:pos="8306"/>
      </w:tabs>
      <w:snapToGrid w:val="0"/>
      <w:jc w:val="left"/>
    </w:pPr>
    <w:rPr>
      <w:kern w:val="0"/>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kern w:val="0"/>
      <w:sz w:val="18"/>
      <w:szCs w:val="18"/>
    </w:rPr>
  </w:style>
  <w:style w:type="character" w:styleId="ab">
    <w:name w:val="endnote reference"/>
    <w:uiPriority w:val="99"/>
    <w:semiHidden/>
    <w:unhideWhenUsed/>
    <w:rPr>
      <w:vertAlign w:val="superscript"/>
    </w:rPr>
  </w:style>
  <w:style w:type="table" w:styleId="ac">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尾注文本 字符"/>
    <w:basedOn w:val="a0"/>
    <w:link w:val="a3"/>
    <w:uiPriority w:val="99"/>
    <w:semiHidden/>
  </w:style>
  <w:style w:type="character" w:customStyle="1" w:styleId="aa">
    <w:name w:val="页眉 字符"/>
    <w:link w:val="a9"/>
    <w:uiPriority w:val="99"/>
    <w:rPr>
      <w:sz w:val="18"/>
      <w:szCs w:val="18"/>
    </w:rPr>
  </w:style>
  <w:style w:type="character" w:customStyle="1" w:styleId="a8">
    <w:name w:val="页脚 字符"/>
    <w:link w:val="a7"/>
    <w:uiPriority w:val="99"/>
    <w:rPr>
      <w:sz w:val="18"/>
      <w:szCs w:val="18"/>
    </w:rPr>
  </w:style>
  <w:style w:type="character" w:customStyle="1" w:styleId="a6">
    <w:name w:val="批注框文本 字符"/>
    <w:link w:val="a5"/>
    <w:uiPriority w:val="99"/>
    <w:semiHidden/>
    <w:rPr>
      <w:rFonts w:ascii="Tahoma" w:hAnsi="Tahoma" w:cs="Tahoma"/>
      <w:kern w:val="2"/>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160</Words>
  <Characters>916</Characters>
  <Application>Microsoft Office Word</Application>
  <DocSecurity>0</DocSecurity>
  <Lines>7</Lines>
  <Paragraphs>2</Paragraphs>
  <ScaleCrop>false</ScaleCrop>
  <Company/>
  <LinksUpToDate>false</LinksUpToDate>
  <CharactersWithSpaces>1074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JY</cp:lastModifiedBy>
  <cp:revision>3</cp:revision>
  <cp:lastPrinted>2014-10-08T02:48:00Z</cp:lastPrinted>
  <dcterms:created xsi:type="dcterms:W3CDTF">2019-03-07T03:54:00Z</dcterms:created>
  <dcterms:modified xsi:type="dcterms:W3CDTF">2019-03-07T03:55:00Z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0046547</vt:lpwstr>
  </property>
  <property fmtid="{D5CDD505-2E9C-101B-9397-08002B2CF9AE}" pid="3" name="Matter">
    <vt:lpwstr>0000055</vt:lpwstr>
  </property>
  <property fmtid="{D5CDD505-2E9C-101B-9397-08002B2CF9AE}" pid="4" name="cpClientMatter">
    <vt:lpwstr>0046547-0000055</vt:lpwstr>
  </property>
  <property fmtid="{D5CDD505-2E9C-101B-9397-08002B2CF9AE}" pid="5" name="cpDocRef">
    <vt:lpwstr>BJ:3841078.1</vt:lpwstr>
  </property>
  <property fmtid="{D5CDD505-2E9C-101B-9397-08002B2CF9AE}" pid="6" name="cpCombinedRef">
    <vt:lpwstr>0046547-0000055 BJ:3841078.1</vt:lpwstr>
  </property>
  <property fmtid="{D5CDD505-2E9C-101B-9397-08002B2CF9AE}" pid="7" name="KSOProductBuildVer">
    <vt:lpwstr>2052-11.1.0.8214</vt:lpwstr>
  </property>
</Properties>
</file>