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 w:cs="Arial"/>
          <w:sz w:val="32"/>
          <w:szCs w:val="32"/>
        </w:rPr>
      </w:pPr>
      <w:r>
        <w:rPr>
          <w:rFonts w:ascii="黑体" w:hAnsi="黑体" w:eastAsia="黑体" w:cs="Arial"/>
          <w:sz w:val="32"/>
          <w:szCs w:val="32"/>
        </w:rPr>
        <w:t>经营者集中简易案件公示表</w:t>
      </w:r>
    </w:p>
    <w:p>
      <w:pPr>
        <w:spacing w:line="360" w:lineRule="auto"/>
        <w:ind w:firstLine="664" w:firstLineChars="302"/>
        <w:rPr>
          <w:rFonts w:ascii="Arial" w:hAnsi="Arial" w:cs="Arial"/>
          <w:sz w:val="22"/>
        </w:rPr>
      </w:pPr>
    </w:p>
    <w:tbl>
      <w:tblPr>
        <w:tblStyle w:val="5"/>
        <w:tblW w:w="875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  <w:r>
              <w:rPr>
                <w:rFonts w:ascii="Arial" w:hAnsi="Arial" w:cs="Arial"/>
                <w:b/>
                <w:color w:val="333333"/>
                <w:kern w:val="0"/>
                <w:sz w:val="22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Arial"/>
                <w:color w:val="333333"/>
                <w:kern w:val="0"/>
                <w:sz w:val="22"/>
              </w:rPr>
            </w:pPr>
            <w:r>
              <w:rPr>
                <w:rFonts w:hint="eastAsia" w:ascii="宋体" w:hAnsi="宋体" w:eastAsia="宋体" w:cs="Arial"/>
                <w:kern w:val="0"/>
                <w:szCs w:val="21"/>
              </w:rPr>
              <w:t>安徽楚江科技新材料股份有限公司收购</w:t>
            </w: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江苏鑫海高导新材料有限公司</w:t>
            </w:r>
            <w:r>
              <w:rPr>
                <w:rFonts w:hint="eastAsia" w:ascii="宋体" w:hAnsi="宋体" w:eastAsia="宋体" w:cs="Arial"/>
                <w:kern w:val="0"/>
                <w:szCs w:val="21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  <w:r>
              <w:rPr>
                <w:rFonts w:ascii="Arial" w:hAnsi="Arial" w:cs="Arial"/>
                <w:b/>
                <w:color w:val="333333"/>
                <w:kern w:val="0"/>
                <w:sz w:val="22"/>
              </w:rPr>
              <w:t>交易概况</w:t>
            </w:r>
          </w:p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  <w:r>
              <w:rPr>
                <w:rFonts w:ascii="Arial" w:hAnsi="Arial" w:cs="Arial"/>
                <w:b/>
                <w:color w:val="333333"/>
                <w:kern w:val="0"/>
                <w:sz w:val="22"/>
              </w:rPr>
              <w:t>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安徽楚江科技新材料股份有限公司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及其</w:t>
            </w:r>
            <w:r>
              <w:rPr>
                <w:rFonts w:hint="eastAsia" w:ascii="宋体" w:hAnsi="宋体" w:eastAsia="宋体" w:cs="Arial"/>
                <w:szCs w:val="21"/>
              </w:rPr>
              <w:t>全资子公司安徽楚江高新电材有限公司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拟</w:t>
            </w:r>
            <w:r>
              <w:rPr>
                <w:rFonts w:hint="eastAsia" w:ascii="宋体" w:hAnsi="宋体" w:eastAsia="宋体" w:cs="Arial"/>
                <w:szCs w:val="21"/>
              </w:rPr>
              <w:t>向汤优钢、张小芳、常州海纳企业管理咨询中心（有限合伙）收购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其持有的</w:t>
            </w:r>
            <w:r>
              <w:rPr>
                <w:rFonts w:hint="eastAsia" w:ascii="宋体" w:hAnsi="宋体" w:cs="Arial"/>
                <w:szCs w:val="21"/>
                <w:lang w:eastAsia="zh-CN"/>
              </w:rPr>
              <w:t>江苏鑫海高导新材料有限公司</w:t>
            </w:r>
            <w:r>
              <w:rPr>
                <w:rFonts w:ascii="宋体" w:hAnsi="宋体" w:eastAsia="宋体" w:cs="Arial"/>
                <w:szCs w:val="21"/>
              </w:rPr>
              <w:t>57.78%</w:t>
            </w:r>
            <w:r>
              <w:rPr>
                <w:rFonts w:hint="eastAsia" w:ascii="宋体" w:hAnsi="宋体" w:eastAsia="宋体" w:cs="Arial"/>
                <w:szCs w:val="21"/>
              </w:rPr>
              <w:t>股权。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  <w:r>
              <w:rPr>
                <w:rFonts w:ascii="Arial" w:hAnsi="Arial" w:cs="Arial"/>
                <w:b/>
                <w:color w:val="333333"/>
                <w:kern w:val="0"/>
                <w:sz w:val="22"/>
              </w:rPr>
              <w:t>参与集中的</w:t>
            </w:r>
          </w:p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  <w:r>
              <w:rPr>
                <w:rFonts w:ascii="Arial" w:hAnsi="Arial" w:cs="Arial"/>
                <w:b/>
                <w:color w:val="333333"/>
                <w:kern w:val="0"/>
                <w:sz w:val="22"/>
              </w:rPr>
              <w:t>经营者简介</w:t>
            </w:r>
          </w:p>
        </w:tc>
        <w:tc>
          <w:tcPr>
            <w:tcW w:w="179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Arial"/>
                <w:szCs w:val="21"/>
              </w:rPr>
            </w:pPr>
            <w:r>
              <w:rPr>
                <w:rFonts w:ascii="宋体" w:hAnsi="宋体" w:eastAsia="宋体" w:cs="Arial"/>
                <w:szCs w:val="21"/>
              </w:rPr>
              <w:t>1、</w:t>
            </w:r>
            <w:r>
              <w:rPr>
                <w:rFonts w:hint="eastAsia" w:ascii="宋体" w:hAnsi="宋体" w:eastAsia="宋体" w:cs="Arial"/>
                <w:szCs w:val="21"/>
              </w:rPr>
              <w:t>安徽楚江科技新材料股份有限公司</w:t>
            </w:r>
          </w:p>
          <w:p>
            <w:pPr>
              <w:spacing w:line="360" w:lineRule="auto"/>
              <w:jc w:val="center"/>
              <w:rPr>
                <w:rFonts w:ascii="宋体" w:hAnsi="宋体" w:eastAsia="宋体" w:cs="Arial"/>
                <w:color w:val="333333"/>
                <w:kern w:val="0"/>
                <w:szCs w:val="21"/>
              </w:rPr>
            </w:pPr>
          </w:p>
        </w:tc>
        <w:tc>
          <w:tcPr>
            <w:tcW w:w="5153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安徽楚江科技新材料股份有限公司（002171）成立于2005年12月21日，2007年9月13日，经中国证券监督管理委员会证监发行字</w:t>
            </w:r>
            <w:r>
              <w:rPr>
                <w:rFonts w:ascii="宋体" w:hAnsi="宋体" w:eastAsia="宋体" w:cs="Arial"/>
                <w:szCs w:val="21"/>
              </w:rPr>
              <w:t>[2007]257</w:t>
            </w:r>
            <w:r>
              <w:rPr>
                <w:rFonts w:hint="eastAsia" w:ascii="宋体" w:hAnsi="宋体" w:eastAsia="宋体" w:cs="Arial"/>
                <w:szCs w:val="21"/>
              </w:rPr>
              <w:t>号文核准，公司向社会公开发行人民币普通股（</w:t>
            </w:r>
            <w:r>
              <w:rPr>
                <w:rFonts w:ascii="宋体" w:hAnsi="宋体" w:eastAsia="宋体" w:cs="Arial"/>
                <w:szCs w:val="21"/>
              </w:rPr>
              <w:t>A</w:t>
            </w:r>
            <w:r>
              <w:rPr>
                <w:rFonts w:hint="eastAsia" w:ascii="宋体" w:hAnsi="宋体" w:eastAsia="宋体" w:cs="Arial"/>
                <w:szCs w:val="21"/>
              </w:rPr>
              <w:t>股）。</w:t>
            </w:r>
          </w:p>
          <w:p>
            <w:pPr>
              <w:spacing w:line="360" w:lineRule="auto"/>
              <w:jc w:val="center"/>
              <w:rPr>
                <w:rFonts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安徽楚江科技新材料股份有限公司现注册资本为1,069,208,056元，法定代表人为姜纯，住所为芜湖市九华北路8号，统一社会信用代码为91340200743082289Q，经营范围为</w:t>
            </w:r>
            <w:r>
              <w:rPr>
                <w:rFonts w:ascii="宋体" w:hAnsi="宋体" w:eastAsia="宋体" w:cs="Arial"/>
                <w:szCs w:val="21"/>
              </w:rPr>
              <w:t>“</w:t>
            </w:r>
            <w:r>
              <w:rPr>
                <w:rFonts w:hint="eastAsia" w:ascii="宋体" w:hAnsi="宋体" w:eastAsia="宋体" w:cs="Arial"/>
                <w:szCs w:val="21"/>
              </w:rPr>
              <w:t>有色金属（不含贵金属）材料研发、加工、销售（矿产资源勘查开采除外），热工设备的研制、生产和销售，热处理技术领域内的技术咨询、技术研发和技术服务，碳复合材料及制品、粉末冶金材料及制品的研发、加工、销售和新材料生产领域内的技术咨询、技术研发、技术服务，锂电池负极材料（除危险化学品）研发、加工、销售，3D打印材料的研发、加工、销售，自营和代理各类商品及技术的进出口业务（国家限定公司经营或禁止进出口的商品和技术除外）</w:t>
            </w:r>
            <w:r>
              <w:rPr>
                <w:rFonts w:ascii="宋体" w:hAnsi="宋体" w:eastAsia="宋体" w:cs="Arial"/>
                <w:szCs w:val="21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Cs w:val="21"/>
              </w:rPr>
              <w:t>2</w:t>
            </w:r>
            <w:r>
              <w:rPr>
                <w:rFonts w:ascii="宋体" w:hAnsi="宋体" w:eastAsia="宋体" w:cs="Arial"/>
                <w:color w:val="333333"/>
                <w:kern w:val="0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szCs w:val="21"/>
              </w:rPr>
              <w:t>江苏鑫海高导新材料有限公司</w:t>
            </w:r>
          </w:p>
          <w:p>
            <w:pPr>
              <w:spacing w:line="360" w:lineRule="auto"/>
              <w:jc w:val="center"/>
              <w:rPr>
                <w:rFonts w:ascii="宋体" w:hAnsi="宋体" w:eastAsia="宋体" w:cs="Arial"/>
                <w:color w:val="333333"/>
                <w:kern w:val="0"/>
                <w:szCs w:val="21"/>
              </w:rPr>
            </w:pPr>
          </w:p>
        </w:tc>
        <w:tc>
          <w:tcPr>
            <w:tcW w:w="5153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</w:rPr>
              <w:t>江苏鑫海高导新材料有限公司成立于</w:t>
            </w:r>
            <w:r>
              <w:rPr>
                <w:rFonts w:ascii="宋体" w:hAnsi="宋体" w:eastAsia="宋体" w:cs="宋体"/>
                <w:color w:val="333333"/>
                <w:kern w:val="0"/>
                <w:szCs w:val="21"/>
              </w:rPr>
              <w:t>1987</w:t>
            </w: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</w:rPr>
              <w:t>年</w:t>
            </w:r>
            <w:r>
              <w:rPr>
                <w:rFonts w:ascii="宋体" w:hAnsi="宋体" w:eastAsia="宋体" w:cs="宋体"/>
                <w:color w:val="333333"/>
                <w:kern w:val="0"/>
                <w:szCs w:val="21"/>
              </w:rPr>
              <w:t>11</w:t>
            </w: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</w:rPr>
              <w:t>月</w:t>
            </w:r>
            <w:r>
              <w:rPr>
                <w:rFonts w:ascii="宋体" w:hAnsi="宋体" w:eastAsia="宋体" w:cs="宋体"/>
                <w:color w:val="333333"/>
                <w:kern w:val="0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</w:rPr>
              <w:t>日，注册资本为11,025.00万元，法定代表人为</w:t>
            </w:r>
            <w:r>
              <w:rPr>
                <w:rFonts w:hint="eastAsia" w:ascii="宋体" w:hAnsi="宋体" w:eastAsia="宋体"/>
                <w:szCs w:val="21"/>
              </w:rPr>
              <w:t>张小芳</w:t>
            </w:r>
          </w:p>
          <w:p>
            <w:pPr>
              <w:pStyle w:val="10"/>
              <w:spacing w:line="360" w:lineRule="auto"/>
              <w:jc w:val="center"/>
              <w:rPr>
                <w:rFonts w:ascii="宋体" w:hAnsi="宋体" w:eastAsia="宋体" w:cs="Arial"/>
                <w:color w:val="333333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/>
              </w:rPr>
              <w:t>，住所为丹阳市皇塘镇蒋墅东风北路，统一社会信用代码为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/>
              </w:rPr>
              <w:t>9132118114244298XQ</w:t>
            </w:r>
            <w:r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/>
              </w:rPr>
              <w:t>，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/>
              </w:rPr>
              <w:t>经营范围为</w:t>
            </w:r>
            <w:r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/>
              </w:rPr>
              <w:t>：“</w:t>
            </w: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/>
              </w:rPr>
              <w:t>金属制品的制造、加工，无氧铜杆线，光亮铜杆、铜材线、合金复合铜丝线、铜束线、铜绞线、超细电子铜丝材、新能源汽车铜线、光伏线、电线电缆用高性能铜导体的加工（国家禁止投资的除外），自营和代理各类商品及技术的进出口业务。（依法须经批准的项目，经相关部门批准后方可开展经营活动）</w:t>
            </w:r>
            <w:r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  <w:r>
              <w:rPr>
                <w:rFonts w:ascii="Arial" w:hAnsi="Arial" w:cs="Arial"/>
                <w:b/>
                <w:color w:val="333333"/>
                <w:kern w:val="0"/>
                <w:sz w:val="22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333333"/>
                <w:kern w:val="0"/>
                <w:sz w:val="22"/>
              </w:rPr>
            </w:pPr>
            <w:r>
              <w:rPr>
                <w:rFonts w:ascii="Wingdings" w:hAnsi="Wingdings" w:eastAsia="黑体" w:cs="Arial"/>
                <w:sz w:val="22"/>
              </w:rPr>
              <w:t></w:t>
            </w:r>
            <w:r>
              <w:rPr>
                <w:rFonts w:ascii="Wingdings" w:hAnsi="Wingdings"/>
                <w:sz w:val="22"/>
              </w:rPr>
              <w:t></w:t>
            </w:r>
            <w:r>
              <w:rPr>
                <w:rFonts w:ascii="宋体" w:hAnsi="宋体" w:eastAsia="宋体" w:cs="Arial"/>
                <w:color w:val="333333"/>
                <w:kern w:val="0"/>
                <w:szCs w:val="21"/>
              </w:rPr>
              <w:t>1. 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333333"/>
                <w:kern w:val="0"/>
                <w:sz w:val="22"/>
              </w:rPr>
            </w:pPr>
            <w:r>
              <w:rPr>
                <w:rFonts w:ascii="Wingdings" w:hAnsi="Wingdings" w:eastAsia="黑体" w:cs="Arial"/>
                <w:sz w:val="22"/>
              </w:rPr>
              <w:t></w:t>
            </w:r>
            <w:r>
              <w:rPr>
                <w:rFonts w:ascii="宋体" w:hAnsi="宋体" w:eastAsia="宋体" w:cs="Arial"/>
                <w:color w:val="333333"/>
                <w:kern w:val="0"/>
                <w:szCs w:val="21"/>
              </w:rPr>
              <w:t>2. 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333333"/>
                <w:kern w:val="0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  <w:r>
              <w:rPr>
                <w:rFonts w:ascii="宋体" w:hAnsi="宋体" w:eastAsia="宋体" w:cs="Arial"/>
                <w:szCs w:val="21"/>
              </w:rPr>
              <w:t></w:t>
            </w:r>
            <w:r>
              <w:rPr>
                <w:rFonts w:ascii="宋体" w:hAnsi="宋体" w:eastAsia="宋体" w:cs="Arial"/>
                <w:color w:val="333333"/>
                <w:kern w:val="0"/>
                <w:szCs w:val="21"/>
              </w:rPr>
              <w:t>3. 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333333"/>
                <w:kern w:val="0"/>
                <w:sz w:val="22"/>
              </w:rPr>
            </w:pPr>
            <w:r>
              <w:rPr>
                <w:rFonts w:ascii="Wingdings" w:hAnsi="Wingdings"/>
                <w:sz w:val="22"/>
              </w:rPr>
              <w:t></w:t>
            </w:r>
            <w:r>
              <w:rPr>
                <w:rFonts w:ascii="宋体" w:hAnsi="宋体" w:eastAsia="宋体" w:cs="Arial"/>
                <w:color w:val="333333"/>
                <w:kern w:val="0"/>
                <w:sz w:val="22"/>
              </w:rPr>
              <w:t>4. 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333333"/>
                <w:kern w:val="0"/>
                <w:sz w:val="22"/>
              </w:rPr>
            </w:pPr>
            <w:r>
              <w:rPr>
                <w:rFonts w:ascii="Wingdings" w:hAnsi="Wingdings"/>
                <w:sz w:val="22"/>
              </w:rPr>
              <w:t></w:t>
            </w:r>
            <w:r>
              <w:rPr>
                <w:rFonts w:ascii="宋体" w:hAnsi="宋体" w:eastAsia="宋体" w:cs="Arial"/>
                <w:color w:val="333333"/>
                <w:kern w:val="0"/>
                <w:szCs w:val="21"/>
              </w:rPr>
              <w:t>5. 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333333"/>
                <w:kern w:val="0"/>
                <w:sz w:val="22"/>
              </w:rPr>
            </w:pPr>
            <w:r>
              <w:rPr>
                <w:rFonts w:ascii="Wingdings" w:hAnsi="Wingdings"/>
                <w:sz w:val="22"/>
              </w:rPr>
              <w:t></w:t>
            </w:r>
            <w:r>
              <w:rPr>
                <w:rFonts w:ascii="宋体" w:hAnsi="宋体" w:eastAsia="宋体" w:cs="Arial"/>
                <w:color w:val="333333"/>
                <w:kern w:val="0"/>
                <w:szCs w:val="21"/>
              </w:rPr>
              <w:t>6. 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color w:val="333333"/>
                <w:kern w:val="0"/>
                <w:sz w:val="22"/>
              </w:rPr>
            </w:pPr>
            <w:r>
              <w:rPr>
                <w:rFonts w:ascii="Arial" w:hAnsi="Arial" w:cs="Arial"/>
                <w:b/>
                <w:color w:val="333333"/>
                <w:kern w:val="0"/>
                <w:sz w:val="22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numPr>
                <w:numId w:val="0"/>
              </w:numPr>
              <w:snapToGrid w:val="0"/>
              <w:jc w:val="center"/>
              <w:rPr>
                <w:rFonts w:hint="eastAsia" w:ascii="宋体" w:hAnsi="宋体" w:eastAsia="宋体" w:cs="Arial"/>
                <w:b/>
                <w:bCs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  <w:bookmarkStart w:id="0" w:name="_Hlk536277745"/>
            <w:r>
              <w:rPr>
                <w:rFonts w:hint="eastAsia" w:ascii="宋体" w:hAnsi="宋体" w:cs="Arial"/>
                <w:b/>
                <w:bCs/>
                <w:color w:val="333333"/>
                <w:kern w:val="0"/>
                <w:sz w:val="21"/>
                <w:szCs w:val="21"/>
                <w:lang w:val="en-US" w:eastAsia="zh-CN" w:bidi="ar-SA"/>
              </w:rPr>
              <w:t>1.</w:t>
            </w:r>
            <w:r>
              <w:rPr>
                <w:rFonts w:hint="eastAsia" w:ascii="宋体" w:hAnsi="宋体" w:eastAsia="宋体" w:cs="Arial"/>
                <w:b/>
                <w:bCs/>
                <w:color w:val="333333"/>
                <w:kern w:val="0"/>
                <w:sz w:val="21"/>
                <w:szCs w:val="21"/>
                <w:lang w:val="en-US" w:eastAsia="zh-CN" w:bidi="ar-SA"/>
              </w:rPr>
              <w:t>相关商品市场</w:t>
            </w:r>
          </w:p>
          <w:p>
            <w:pPr>
              <w:widowControl/>
              <w:numPr>
                <w:numId w:val="0"/>
              </w:numPr>
              <w:snapToGrid w:val="0"/>
              <w:jc w:val="center"/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  <w:t>（1）</w:t>
            </w:r>
            <w:r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  <w:t>铜盘条业市场（上游市场）</w:t>
            </w:r>
          </w:p>
          <w:p>
            <w:pPr>
              <w:widowControl/>
              <w:numPr>
                <w:numId w:val="0"/>
              </w:numPr>
              <w:snapToGrid w:val="0"/>
              <w:jc w:val="center"/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  <w:t>（2）</w:t>
            </w:r>
            <w:r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  <w:t>铜线材业市场（下游市场）</w:t>
            </w:r>
          </w:p>
          <w:p>
            <w:pPr>
              <w:widowControl/>
              <w:snapToGrid w:val="0"/>
              <w:jc w:val="center"/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</w:p>
          <w:p>
            <w:pPr>
              <w:widowControl/>
              <w:numPr>
                <w:numId w:val="0"/>
              </w:numPr>
              <w:snapToGrid w:val="0"/>
              <w:jc w:val="center"/>
              <w:rPr>
                <w:rFonts w:hint="eastAsia" w:ascii="宋体" w:hAnsi="宋体" w:eastAsia="宋体" w:cs="Arial"/>
                <w:b/>
                <w:bCs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b/>
                <w:bCs/>
                <w:color w:val="333333"/>
                <w:kern w:val="0"/>
                <w:sz w:val="21"/>
                <w:szCs w:val="21"/>
                <w:lang w:val="en-US" w:eastAsia="zh-CN" w:bidi="ar-SA"/>
              </w:rPr>
              <w:t>2.</w:t>
            </w:r>
            <w:r>
              <w:rPr>
                <w:rFonts w:hint="eastAsia" w:ascii="宋体" w:hAnsi="宋体" w:eastAsia="宋体" w:cs="Arial"/>
                <w:b/>
                <w:bCs/>
                <w:color w:val="333333"/>
                <w:kern w:val="0"/>
                <w:sz w:val="21"/>
                <w:szCs w:val="21"/>
                <w:lang w:val="en-US" w:eastAsia="zh-CN" w:bidi="ar-SA"/>
              </w:rPr>
              <w:t>相关地域市场</w:t>
            </w:r>
          </w:p>
          <w:p>
            <w:pPr>
              <w:jc w:val="center"/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  <w:t>（1）铜线材业市场：中国市场</w:t>
            </w:r>
          </w:p>
          <w:p>
            <w:pPr>
              <w:jc w:val="center"/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  <w:t>（2）铜盘条业市场：中国市场</w:t>
            </w:r>
          </w:p>
          <w:p>
            <w:pPr>
              <w:widowControl/>
              <w:snapToGrid w:val="0"/>
              <w:ind w:firstLine="422" w:firstLineChars="200"/>
              <w:jc w:val="center"/>
              <w:rPr>
                <w:rFonts w:hint="eastAsia" w:ascii="宋体" w:hAnsi="宋体" w:eastAsia="宋体" w:cs="Arial"/>
                <w:b/>
                <w:bCs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</w:p>
          <w:p>
            <w:pPr>
              <w:widowControl/>
              <w:snapToGrid w:val="0"/>
              <w:jc w:val="center"/>
              <w:rPr>
                <w:rFonts w:hint="eastAsia" w:ascii="仿宋_GB2312" w:hAnsi="仿宋_GB2312" w:eastAsia="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333333"/>
                <w:kern w:val="0"/>
                <w:sz w:val="21"/>
                <w:szCs w:val="21"/>
                <w:lang w:val="en-US" w:eastAsia="zh-CN" w:bidi="ar-SA"/>
              </w:rPr>
              <w:t>3.参与集中的各方在各相关市场的市场份额</w:t>
            </w:r>
          </w:p>
          <w:p>
            <w:pPr>
              <w:jc w:val="center"/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  <w:t>相关产品市场：铜线材业</w:t>
            </w:r>
          </w:p>
          <w:p>
            <w:pPr>
              <w:jc w:val="center"/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  <w:t>相关地域市场：中国市场</w:t>
            </w:r>
          </w:p>
          <w:p>
            <w:pPr>
              <w:jc w:val="center"/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  <w:t>市场份额：</w:t>
            </w:r>
          </w:p>
          <w:bookmarkEnd w:id="0"/>
          <w:tbl>
            <w:tblPr>
              <w:tblStyle w:val="6"/>
              <w:tblpPr w:leftFromText="180" w:rightFromText="180" w:vertAnchor="text" w:horzAnchor="page" w:tblpX="551" w:tblpY="123"/>
              <w:tblOverlap w:val="never"/>
              <w:tblW w:w="592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59"/>
              <w:gridCol w:w="216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9" w:hRule="atLeast"/>
              </w:trPr>
              <w:tc>
                <w:tcPr>
                  <w:tcW w:w="3759" w:type="dxa"/>
                  <w:vAlign w:val="center"/>
                </w:tcPr>
                <w:p>
                  <w:pPr>
                    <w:pStyle w:val="2"/>
                    <w:keepNext/>
                    <w:keepLines/>
                    <w:snapToGrid w:val="0"/>
                    <w:spacing w:after="0" w:line="360" w:lineRule="auto"/>
                    <w:jc w:val="center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highlight w:val="yellow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公司名称</w:t>
                  </w:r>
                </w:p>
              </w:tc>
              <w:tc>
                <w:tcPr>
                  <w:tcW w:w="2161" w:type="dxa"/>
                  <w:vAlign w:val="center"/>
                </w:tcPr>
                <w:p>
                  <w:pPr>
                    <w:pStyle w:val="2"/>
                    <w:keepNext/>
                    <w:keepLines/>
                    <w:snapToGrid w:val="0"/>
                    <w:spacing w:after="0" w:line="360" w:lineRule="auto"/>
                    <w:ind w:right="183" w:rightChars="0"/>
                    <w:jc w:val="center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highlight w:val="yellow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9" w:hRule="atLeast"/>
              </w:trPr>
              <w:tc>
                <w:tcPr>
                  <w:tcW w:w="3759" w:type="dxa"/>
                  <w:vAlign w:val="center"/>
                </w:tcPr>
                <w:p>
                  <w:pPr>
                    <w:pStyle w:val="2"/>
                    <w:keepNext/>
                    <w:keepLines/>
                    <w:snapToGrid w:val="0"/>
                    <w:spacing w:after="0" w:line="360" w:lineRule="auto"/>
                    <w:jc w:val="center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highlight w:val="yellow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安徽楚江科技新材料股份有限公司</w:t>
                  </w:r>
                </w:p>
              </w:tc>
              <w:tc>
                <w:tcPr>
                  <w:tcW w:w="2161" w:type="dxa"/>
                  <w:vAlign w:val="center"/>
                </w:tcPr>
                <w:p>
                  <w:pPr>
                    <w:snapToGrid w:val="0"/>
                    <w:spacing w:line="360" w:lineRule="auto"/>
                    <w:jc w:val="center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highlight w:val="yellow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[</w:t>
                  </w: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-</w:t>
                  </w: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9" w:hRule="atLeast"/>
              </w:trPr>
              <w:tc>
                <w:tcPr>
                  <w:tcW w:w="3759" w:type="dxa"/>
                  <w:vAlign w:val="center"/>
                </w:tcPr>
                <w:p>
                  <w:pPr>
                    <w:pStyle w:val="2"/>
                    <w:keepNext/>
                    <w:keepLines/>
                    <w:snapToGrid w:val="0"/>
                    <w:spacing w:after="0" w:line="360" w:lineRule="auto"/>
                    <w:jc w:val="center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highlight w:val="yellow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江苏鑫海高导新材料有限公司</w:t>
                  </w:r>
                </w:p>
              </w:tc>
              <w:tc>
                <w:tcPr>
                  <w:tcW w:w="2161" w:type="dxa"/>
                  <w:vAlign w:val="center"/>
                </w:tcPr>
                <w:p>
                  <w:pPr>
                    <w:snapToGrid w:val="0"/>
                    <w:spacing w:line="360" w:lineRule="auto"/>
                    <w:jc w:val="center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highlight w:val="yellow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</w:trPr>
              <w:tc>
                <w:tcPr>
                  <w:tcW w:w="3759" w:type="dxa"/>
                  <w:vAlign w:val="center"/>
                </w:tcPr>
                <w:p>
                  <w:pPr>
                    <w:pStyle w:val="2"/>
                    <w:keepNext/>
                    <w:keepLines/>
                    <w:snapToGrid w:val="0"/>
                    <w:spacing w:after="0" w:line="360" w:lineRule="auto"/>
                    <w:jc w:val="center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highlight w:val="yellow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交易各方合计</w:t>
                  </w:r>
                </w:p>
              </w:tc>
              <w:tc>
                <w:tcPr>
                  <w:tcW w:w="2161" w:type="dxa"/>
                  <w:vAlign w:val="center"/>
                </w:tcPr>
                <w:p>
                  <w:pPr>
                    <w:snapToGrid w:val="0"/>
                    <w:spacing w:line="360" w:lineRule="auto"/>
                    <w:jc w:val="center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highlight w:val="yellow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[0-5]%</w:t>
                  </w:r>
                </w:p>
              </w:tc>
            </w:tr>
          </w:tbl>
          <w:p>
            <w:pPr>
              <w:jc w:val="center"/>
              <w:rPr>
                <w:rFonts w:hint="default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  <w:t>相关产品市场：铜盘条业</w:t>
            </w:r>
          </w:p>
          <w:p>
            <w:pPr>
              <w:jc w:val="center"/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  <w:t>相关地域市场：中国市场</w:t>
            </w:r>
          </w:p>
          <w:tbl>
            <w:tblPr>
              <w:tblStyle w:val="6"/>
              <w:tblpPr w:leftFromText="180" w:rightFromText="180" w:vertAnchor="text" w:horzAnchor="page" w:tblpX="551" w:tblpY="587"/>
              <w:tblOverlap w:val="never"/>
              <w:tblW w:w="592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59"/>
              <w:gridCol w:w="216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9" w:hRule="atLeast"/>
              </w:trPr>
              <w:tc>
                <w:tcPr>
                  <w:tcW w:w="3759" w:type="dxa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Arial"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Arial"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  <w:t>公司名称</w:t>
                  </w:r>
                </w:p>
              </w:tc>
              <w:tc>
                <w:tcPr>
                  <w:tcW w:w="2161" w:type="dxa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Arial"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Arial"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  <w:t>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9" w:hRule="atLeast"/>
              </w:trPr>
              <w:tc>
                <w:tcPr>
                  <w:tcW w:w="3759" w:type="dxa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Arial"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Arial"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  <w:t>安徽楚江科技新材料股份有限公司</w:t>
                  </w:r>
                </w:p>
              </w:tc>
              <w:tc>
                <w:tcPr>
                  <w:tcW w:w="2161" w:type="dxa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Arial"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Arial"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9" w:hRule="atLeast"/>
              </w:trPr>
              <w:tc>
                <w:tcPr>
                  <w:tcW w:w="3759" w:type="dxa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Arial"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Arial"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  <w:t>江苏鑫海高导新材料有限公司</w:t>
                  </w:r>
                </w:p>
              </w:tc>
              <w:tc>
                <w:tcPr>
                  <w:tcW w:w="2161" w:type="dxa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Arial"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Arial"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</w:trPr>
              <w:tc>
                <w:tcPr>
                  <w:tcW w:w="3759" w:type="dxa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Arial"/>
                      <w:b/>
                      <w:bCs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Arial"/>
                      <w:b/>
                      <w:bCs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  <w:t>交易各方合计</w:t>
                  </w:r>
                </w:p>
              </w:tc>
              <w:tc>
                <w:tcPr>
                  <w:tcW w:w="2161" w:type="dxa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Arial"/>
                      <w:b/>
                      <w:bCs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Arial"/>
                      <w:b/>
                      <w:bCs/>
                      <w:color w:val="333333"/>
                      <w:kern w:val="0"/>
                      <w:sz w:val="21"/>
                      <w:szCs w:val="21"/>
                      <w:lang w:val="en-US" w:eastAsia="zh-CN" w:bidi="ar-SA"/>
                    </w:rPr>
                    <w:t>[0-5]%</w:t>
                  </w:r>
                </w:p>
              </w:tc>
            </w:tr>
          </w:tbl>
          <w:p>
            <w:pPr>
              <w:jc w:val="center"/>
              <w:rPr>
                <w:rFonts w:cs="Arial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1"/>
                <w:szCs w:val="21"/>
                <w:lang w:val="en-US" w:eastAsia="zh-CN" w:bidi="ar-SA"/>
              </w:rPr>
              <w:t>市场份额：</w:t>
            </w:r>
            <w:bookmarkStart w:id="1" w:name="_GoBack"/>
            <w:bookmarkEnd w:id="1"/>
          </w:p>
        </w:tc>
      </w:tr>
    </w:tbl>
    <w:p>
      <w:pPr>
        <w:snapToGrid w:val="0"/>
        <w:spacing w:line="360" w:lineRule="auto"/>
        <w:jc w:val="left"/>
        <w:rPr>
          <w:rFonts w:ascii="Arial" w:hAnsi="Arial" w:cs="Arial"/>
          <w:sz w:val="22"/>
        </w:rPr>
      </w:pPr>
    </w:p>
    <w:p>
      <w:pPr>
        <w:snapToGrid w:val="0"/>
        <w:spacing w:line="360" w:lineRule="auto"/>
        <w:jc w:val="left"/>
        <w:rPr>
          <w:rFonts w:ascii="Arial" w:hAnsi="Arial" w:cs="Arial"/>
          <w:sz w:val="22"/>
        </w:rPr>
      </w:pPr>
    </w:p>
    <w:p>
      <w:pPr>
        <w:spacing w:line="360" w:lineRule="auto"/>
        <w:rPr>
          <w:rFonts w:ascii="Arial" w:hAnsi="Arial" w:cs="Arial"/>
          <w:sz w:val="22"/>
        </w:rPr>
      </w:pPr>
    </w:p>
    <w:p>
      <w:pPr>
        <w:snapToGrid w:val="0"/>
        <w:spacing w:line="240" w:lineRule="exact"/>
        <w:jc w:val="left"/>
        <w:rPr>
          <w:rFonts w:ascii="Arial" w:hAnsi="Arial" w:eastAsia="楷体_GB2312" w:cs="Arial"/>
          <w:sz w:val="24"/>
          <w:szCs w:val="24"/>
        </w:rPr>
      </w:pPr>
      <w:r>
        <w:rPr>
          <w:rFonts w:hint="eastAsia" w:ascii="Arial" w:hAnsi="Arial" w:eastAsia="楷体_GB2312" w:cs="Arial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Arial" w:hAnsi="Arial" w:eastAsia="楷体_GB2312" w:cs="Arial"/>
          <w:sz w:val="24"/>
          <w:szCs w:val="24"/>
        </w:rPr>
      </w:pPr>
      <w:r>
        <w:rPr>
          <w:rFonts w:ascii="Arial" w:hAnsi="Arial" w:eastAsia="楷体_GB2312" w:cs="Arial"/>
          <w:sz w:val="24"/>
          <w:szCs w:val="24"/>
        </w:rPr>
        <w:t>1</w:t>
      </w:r>
      <w:r>
        <w:rPr>
          <w:rFonts w:hint="eastAsia" w:ascii="Arial" w:hAnsi="Arial" w:eastAsia="楷体_GB2312" w:cs="Arial"/>
          <w:sz w:val="24"/>
          <w:szCs w:val="24"/>
        </w:rPr>
        <w:t>、申报方申请简易案件的理由是基于</w:t>
      </w:r>
      <w:r>
        <w:rPr>
          <w:rFonts w:ascii="Arial" w:hAnsi="Arial" w:eastAsia="楷体_GB2312" w:cs="Arial"/>
          <w:sz w:val="24"/>
          <w:szCs w:val="24"/>
        </w:rPr>
        <w:t>1-3</w:t>
      </w:r>
      <w:r>
        <w:rPr>
          <w:rFonts w:hint="eastAsia" w:ascii="Arial" w:hAnsi="Arial" w:eastAsia="楷体_GB2312" w:cs="Arial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Arial" w:hAnsi="Arial" w:eastAsia="楷体_GB2312" w:cs="Arial"/>
          <w:sz w:val="24"/>
          <w:szCs w:val="24"/>
        </w:rPr>
        <w:t>5%</w:t>
      </w:r>
      <w:r>
        <w:rPr>
          <w:rFonts w:hint="eastAsia" w:ascii="Arial" w:hAnsi="Arial" w:eastAsia="楷体_GB2312" w:cs="Arial"/>
          <w:sz w:val="24"/>
          <w:szCs w:val="24"/>
        </w:rPr>
        <w:t>。</w:t>
      </w:r>
      <w:r>
        <w:rPr>
          <w:rFonts w:ascii="Arial" w:hAnsi="Arial" w:eastAsia="楷体_GB2312" w:cs="Arial"/>
          <w:sz w:val="24"/>
          <w:szCs w:val="24"/>
        </w:rPr>
        <w:t>1-3</w:t>
      </w:r>
      <w:r>
        <w:rPr>
          <w:rFonts w:hint="eastAsia" w:ascii="Arial" w:hAnsi="Arial" w:eastAsia="楷体_GB2312" w:cs="Arial"/>
          <w:sz w:val="24"/>
          <w:szCs w:val="24"/>
        </w:rPr>
        <w:t>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Arial" w:hAnsi="Arial" w:eastAsia="楷体_GB2312" w:cs="Arial"/>
          <w:sz w:val="28"/>
          <w:szCs w:val="28"/>
        </w:rPr>
      </w:pPr>
      <w:r>
        <w:rPr>
          <w:rFonts w:ascii="Arial" w:hAnsi="Arial" w:eastAsia="楷体_GB2312" w:cs="Arial"/>
          <w:sz w:val="24"/>
          <w:szCs w:val="24"/>
        </w:rPr>
        <w:t>2</w:t>
      </w:r>
      <w:r>
        <w:rPr>
          <w:rFonts w:hint="eastAsia" w:ascii="Arial" w:hAnsi="Arial" w:eastAsia="楷体_GB2312" w:cs="Arial"/>
          <w:sz w:val="24"/>
          <w:szCs w:val="24"/>
        </w:rPr>
        <w:t>、申报方申请简易案件的理由是基于第</w:t>
      </w:r>
      <w:r>
        <w:rPr>
          <w:rFonts w:ascii="Arial" w:hAnsi="Arial" w:eastAsia="楷体_GB2312" w:cs="Arial"/>
          <w:sz w:val="24"/>
          <w:szCs w:val="24"/>
        </w:rPr>
        <w:t>4</w:t>
      </w:r>
      <w:r>
        <w:rPr>
          <w:rFonts w:hint="eastAsia" w:ascii="Arial" w:hAnsi="Arial" w:eastAsia="楷体_GB2312" w:cs="Arial"/>
          <w:sz w:val="24"/>
          <w:szCs w:val="24"/>
        </w:rPr>
        <w:t>项、第</w:t>
      </w:r>
      <w:r>
        <w:rPr>
          <w:rFonts w:ascii="Arial" w:hAnsi="Arial" w:eastAsia="楷体_GB2312" w:cs="Arial"/>
          <w:sz w:val="24"/>
          <w:szCs w:val="24"/>
        </w:rPr>
        <w:t>5</w:t>
      </w:r>
      <w:r>
        <w:rPr>
          <w:rFonts w:hint="eastAsia" w:ascii="Arial" w:hAnsi="Arial" w:eastAsia="楷体_GB2312" w:cs="Arial"/>
          <w:sz w:val="24"/>
          <w:szCs w:val="24"/>
        </w:rPr>
        <w:t>项时，无须在备注中说明相关市场和市场份额。</w:t>
      </w:r>
      <w:r>
        <w:rPr>
          <w:rFonts w:ascii="Arial" w:hAnsi="Arial" w:eastAsia="楷体_GB2312" w:cs="Arial"/>
          <w:sz w:val="24"/>
          <w:szCs w:val="24"/>
        </w:rPr>
        <w:br w:type="textWrapping"/>
      </w:r>
      <w:r>
        <w:rPr>
          <w:rFonts w:ascii="Arial" w:hAnsi="Arial" w:eastAsia="楷体_GB2312" w:cs="Arial"/>
          <w:sz w:val="24"/>
          <w:szCs w:val="24"/>
        </w:rPr>
        <w:t xml:space="preserve">    3</w:t>
      </w:r>
      <w:r>
        <w:rPr>
          <w:rFonts w:hint="eastAsia" w:ascii="Arial" w:hAnsi="Arial" w:eastAsia="楷体_GB2312" w:cs="Arial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>
        <w:rPr>
          <w:rFonts w:ascii="Arial" w:hAnsi="Arial" w:eastAsia="楷体_GB2312" w:cs="Arial"/>
          <w:sz w:val="24"/>
          <w:szCs w:val="24"/>
        </w:rPr>
        <w:t>1</w:t>
      </w:r>
      <w:r>
        <w:rPr>
          <w:rFonts w:hint="eastAsia" w:ascii="Arial" w:hAnsi="Arial" w:eastAsia="楷体_GB2312" w:cs="Arial"/>
          <w:sz w:val="24"/>
          <w:szCs w:val="24"/>
        </w:rPr>
        <w:t>项和第</w:t>
      </w:r>
      <w:r>
        <w:rPr>
          <w:rFonts w:ascii="Arial" w:hAnsi="Arial" w:eastAsia="楷体_GB2312" w:cs="Arial"/>
          <w:sz w:val="24"/>
          <w:szCs w:val="24"/>
        </w:rPr>
        <w:t>6</w:t>
      </w:r>
      <w:r>
        <w:rPr>
          <w:rFonts w:hint="eastAsia" w:ascii="Arial" w:hAnsi="Arial" w:eastAsia="楷体_GB2312" w:cs="Arial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Arial" w:hAnsi="Arial" w:eastAsia="楷体_GB2312" w:cs="Arial"/>
          <w:sz w:val="24"/>
          <w:szCs w:val="24"/>
        </w:rPr>
        <w:t>5%</w:t>
      </w:r>
      <w:r>
        <w:rPr>
          <w:rFonts w:hint="eastAsia" w:ascii="Arial" w:hAnsi="Arial" w:eastAsia="楷体_GB2312" w:cs="Arial"/>
          <w:sz w:val="24"/>
          <w:szCs w:val="24"/>
        </w:rPr>
        <w:t>。</w:t>
      </w:r>
    </w:p>
    <w:p>
      <w:pPr>
        <w:spacing w:line="360" w:lineRule="auto"/>
        <w:rPr>
          <w:rFonts w:ascii="Arial" w:hAnsi="Arial" w:cs="Arial"/>
          <w:sz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27045"/>
    <w:rsid w:val="00037065"/>
    <w:rsid w:val="00084BBB"/>
    <w:rsid w:val="000C7A84"/>
    <w:rsid w:val="000D7EBA"/>
    <w:rsid w:val="001005F1"/>
    <w:rsid w:val="001164CD"/>
    <w:rsid w:val="00116B13"/>
    <w:rsid w:val="00131E96"/>
    <w:rsid w:val="00155717"/>
    <w:rsid w:val="001837A3"/>
    <w:rsid w:val="001D69E6"/>
    <w:rsid w:val="0028352E"/>
    <w:rsid w:val="002F51CC"/>
    <w:rsid w:val="0031428B"/>
    <w:rsid w:val="00320916"/>
    <w:rsid w:val="00362840"/>
    <w:rsid w:val="00367025"/>
    <w:rsid w:val="003A1A0D"/>
    <w:rsid w:val="003B0ADE"/>
    <w:rsid w:val="003C0AEB"/>
    <w:rsid w:val="00403F9C"/>
    <w:rsid w:val="00496215"/>
    <w:rsid w:val="004B0947"/>
    <w:rsid w:val="004B51A2"/>
    <w:rsid w:val="004F7688"/>
    <w:rsid w:val="005220D4"/>
    <w:rsid w:val="005264E2"/>
    <w:rsid w:val="00545C06"/>
    <w:rsid w:val="00556F07"/>
    <w:rsid w:val="00577274"/>
    <w:rsid w:val="00584AFC"/>
    <w:rsid w:val="00597A15"/>
    <w:rsid w:val="006467D8"/>
    <w:rsid w:val="006A2CAF"/>
    <w:rsid w:val="006A531B"/>
    <w:rsid w:val="006B0EC4"/>
    <w:rsid w:val="006D7E1E"/>
    <w:rsid w:val="006F4DC8"/>
    <w:rsid w:val="006F7693"/>
    <w:rsid w:val="00710140"/>
    <w:rsid w:val="00737F83"/>
    <w:rsid w:val="007F2275"/>
    <w:rsid w:val="007F3AE8"/>
    <w:rsid w:val="00866772"/>
    <w:rsid w:val="00912B09"/>
    <w:rsid w:val="00915F0F"/>
    <w:rsid w:val="009532DF"/>
    <w:rsid w:val="009915FC"/>
    <w:rsid w:val="00997019"/>
    <w:rsid w:val="009A5029"/>
    <w:rsid w:val="009D38D5"/>
    <w:rsid w:val="00A418C0"/>
    <w:rsid w:val="00A51080"/>
    <w:rsid w:val="00A53F26"/>
    <w:rsid w:val="00A54140"/>
    <w:rsid w:val="00A577A0"/>
    <w:rsid w:val="00A64299"/>
    <w:rsid w:val="00AA0CC5"/>
    <w:rsid w:val="00AD1D4A"/>
    <w:rsid w:val="00AF40B7"/>
    <w:rsid w:val="00B16AFE"/>
    <w:rsid w:val="00B445F2"/>
    <w:rsid w:val="00B65DD5"/>
    <w:rsid w:val="00BD10B6"/>
    <w:rsid w:val="00C07076"/>
    <w:rsid w:val="00C270C4"/>
    <w:rsid w:val="00C42AF9"/>
    <w:rsid w:val="00CA61C0"/>
    <w:rsid w:val="00CB00DF"/>
    <w:rsid w:val="00CD2BF9"/>
    <w:rsid w:val="00D52BEF"/>
    <w:rsid w:val="00D73C72"/>
    <w:rsid w:val="00DA7EFE"/>
    <w:rsid w:val="00DC40C6"/>
    <w:rsid w:val="00DF3D71"/>
    <w:rsid w:val="00E0592B"/>
    <w:rsid w:val="00E11B33"/>
    <w:rsid w:val="00E27E6F"/>
    <w:rsid w:val="00E31738"/>
    <w:rsid w:val="00E86786"/>
    <w:rsid w:val="00ED2F80"/>
    <w:rsid w:val="00F14512"/>
    <w:rsid w:val="00F1624E"/>
    <w:rsid w:val="00F32F8A"/>
    <w:rsid w:val="00F46685"/>
    <w:rsid w:val="00F6527E"/>
    <w:rsid w:val="00F75351"/>
    <w:rsid w:val="00F810AA"/>
    <w:rsid w:val="00F91B96"/>
    <w:rsid w:val="00FB43EC"/>
    <w:rsid w:val="00FB6B40"/>
    <w:rsid w:val="02C5089D"/>
    <w:rsid w:val="08670257"/>
    <w:rsid w:val="0A556FB3"/>
    <w:rsid w:val="13DB2807"/>
    <w:rsid w:val="17393832"/>
    <w:rsid w:val="1CD636B1"/>
    <w:rsid w:val="2A0C0CAA"/>
    <w:rsid w:val="2AF90524"/>
    <w:rsid w:val="2F241771"/>
    <w:rsid w:val="30F46B4B"/>
    <w:rsid w:val="321F3B10"/>
    <w:rsid w:val="3652181B"/>
    <w:rsid w:val="366B33DE"/>
    <w:rsid w:val="36865C06"/>
    <w:rsid w:val="39D17A59"/>
    <w:rsid w:val="40B91A7B"/>
    <w:rsid w:val="4A794A93"/>
    <w:rsid w:val="4D7664F7"/>
    <w:rsid w:val="50FD4742"/>
    <w:rsid w:val="51814236"/>
    <w:rsid w:val="54ED1518"/>
    <w:rsid w:val="59754E00"/>
    <w:rsid w:val="5C6943F5"/>
    <w:rsid w:val="6B3C1464"/>
    <w:rsid w:val="73AB0080"/>
    <w:rsid w:val="74416BF6"/>
    <w:rsid w:val="7DB2380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1"/>
    <w:unhideWhenUsed/>
    <w:qFormat/>
    <w:uiPriority w:val="0"/>
    <w:pPr>
      <w:spacing w:after="120"/>
    </w:pPr>
    <w:rPr>
      <w:rFonts w:ascii="Times New Roman" w:hAnsi="Times New Roman"/>
      <w:szCs w:val="24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</w:p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uiPriority w:val="99"/>
    <w:rPr>
      <w:rFonts w:ascii="Calibri" w:hAnsi="Calibri" w:eastAsia="宋体" w:cs="Times New Roman"/>
    </w:rPr>
  </w:style>
  <w:style w:type="character" w:customStyle="1" w:styleId="9">
    <w:name w:val="页脚 Char"/>
    <w:basedOn w:val="7"/>
    <w:link w:val="3"/>
    <w:qFormat/>
    <w:uiPriority w:val="99"/>
    <w:rPr>
      <w:rFonts w:ascii="Calibri" w:hAnsi="Calibri" w:eastAsia="宋体" w:cs="Times New Roman"/>
    </w:rPr>
  </w:style>
  <w:style w:type="paragraph" w:customStyle="1" w:styleId="10">
    <w:name w:val="Body"/>
    <w:basedOn w:val="1"/>
    <w:qFormat/>
    <w:uiPriority w:val="0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character" w:customStyle="1" w:styleId="11">
    <w:name w:val="正文文本 Char"/>
    <w:basedOn w:val="7"/>
    <w:link w:val="2"/>
    <w:qFormat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233</Words>
  <Characters>1331</Characters>
  <Lines>11</Lines>
  <Paragraphs>3</Paragraphs>
  <TotalTime>3</TotalTime>
  <ScaleCrop>false</ScaleCrop>
  <LinksUpToDate>false</LinksUpToDate>
  <CharactersWithSpaces>1561</CharactersWithSpaces>
  <Application>WPS Office_11.1.0.8661_F1E327BC-269C-435d-A152-05C5408002CA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2019-03-20T01:38:00Z</dcterms:created>
  <dc:creator>陈媚</dc:creator>
  <cp:lastModifiedBy>李梦珵</cp:lastModifiedBy>
  <cp:lastPrinted>2019-02-20T13:13:00Z</cp:lastPrinted>
  <dcterms:modified xsi:type="dcterms:W3CDTF">2019-04-30T07:03:50Z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/>
  </property>
  <property fmtid="{D5CDD505-2E9C-101B-9397-08002B2CF9AE}" pid="3" name="DEDocumentLocation">
    <vt:lpwstr>C:\Users\jjiang\Desktop\曼巴传\简易案件公示表.docx</vt:lpwstr>
  </property>
  <property fmtid="{D5CDD505-2E9C-101B-9397-08002B2CF9AE}" pid="4" name="Document Number">
    <vt:lpwstr/>
  </property>
  <property fmtid="{D5CDD505-2E9C-101B-9397-08002B2CF9AE}" pid="5" name="Last Modified">
    <vt:lpwstr/>
  </property>
  <property fmtid="{D5CDD505-2E9C-101B-9397-08002B2CF9AE}" pid="6" name="Matter Number">
    <vt:lpwstr/>
  </property>
  <property fmtid="{D5CDD505-2E9C-101B-9397-08002B2CF9AE}" pid="7" name="Mode">
    <vt:lpwstr>Export</vt:lpwstr>
  </property>
  <property fmtid="{D5CDD505-2E9C-101B-9397-08002B2CF9AE}" pid="8" name="Version">
    <vt:lpwstr/>
  </property>
  <property fmtid="{D5CDD505-2E9C-101B-9397-08002B2CF9AE}" pid="9" name="ObjectID">
    <vt:lpwstr/>
  </property>
  <property fmtid="{D5CDD505-2E9C-101B-9397-08002B2CF9AE}" pid="10" name="KSOProductBuildVer">
    <vt:lpwstr>2052-11.1.0.8661</vt:lpwstr>
  </property>
</Properties>
</file>