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FangSong_GB2312" w:hAnsi="Times New Roman" w:eastAsia="FangSong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  <w:lang w:eastAsia="zh-CN"/>
              </w:rPr>
              <w:t>升达亚洲</w:t>
            </w: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有限公司与安徽临涣工业园循环经济发展有限公司新设合营企业案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FangSong_GB2312" w:hAnsi="Times New Roman" w:eastAsia="FangSong_GB2312"/>
                <w:sz w:val="28"/>
                <w:szCs w:val="28"/>
                <w:lang w:eastAsia="zh-CN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本交易涉及</w:t>
            </w:r>
            <w:r>
              <w:rPr>
                <w:rFonts w:hint="eastAsia" w:ascii="FangSong_GB2312" w:hAnsi="Times New Roman" w:eastAsia="FangSong_GB2312"/>
                <w:sz w:val="28"/>
                <w:szCs w:val="28"/>
                <w:lang w:eastAsia="zh-CN"/>
              </w:rPr>
              <w:t>升达亚洲</w:t>
            </w: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有限公司与安徽临涣工业园循环经济发展有限公司（合称为“</w:t>
            </w:r>
            <w:r>
              <w:rPr>
                <w:rFonts w:hint="eastAsia" w:ascii="FangSong_GB2312" w:hAnsi="Times New Roman" w:eastAsia="FangSong_GB2312"/>
                <w:b/>
                <w:sz w:val="28"/>
                <w:szCs w:val="28"/>
              </w:rPr>
              <w:t>交易双方</w:t>
            </w: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”）拟设立淮北苏伊士环境服务有限公司（简称“</w:t>
            </w:r>
            <w:r>
              <w:rPr>
                <w:rFonts w:hint="eastAsia" w:ascii="FangSong_GB2312" w:hAnsi="Times New Roman" w:eastAsia="FangSong_GB2312"/>
                <w:b/>
                <w:sz w:val="28"/>
                <w:szCs w:val="28"/>
              </w:rPr>
              <w:t>合营企业</w:t>
            </w: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”），合营企业成立后将在安徽省境内从事工业危险废物（简称“</w:t>
            </w:r>
            <w:r>
              <w:rPr>
                <w:rFonts w:hint="eastAsia" w:ascii="FangSong_GB2312" w:hAnsi="Times New Roman" w:eastAsia="FangSong_GB2312"/>
                <w:b/>
                <w:sz w:val="28"/>
                <w:szCs w:val="28"/>
              </w:rPr>
              <w:t>危废</w:t>
            </w: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”）焚烧和填埋业务。本交易完成以后合营企业将由交易双方共同控制</w:t>
            </w:r>
            <w:r>
              <w:rPr>
                <w:rFonts w:hint="eastAsia" w:ascii="FangSong_GB2312" w:hAnsi="Times New Roman" w:eastAsia="FangSong_GB2312"/>
                <w:sz w:val="28"/>
                <w:szCs w:val="2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1、</w:t>
            </w:r>
            <w:r>
              <w:rPr>
                <w:rFonts w:hint="eastAsia" w:ascii="FangSong_GB2312" w:hAnsi="Times New Roman" w:eastAsia="FangSong_GB2312"/>
                <w:sz w:val="28"/>
                <w:szCs w:val="28"/>
                <w:lang w:eastAsia="zh-CN"/>
              </w:rPr>
              <w:t>升达亚洲</w:t>
            </w: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  <w:lang w:eastAsia="zh-CN"/>
              </w:rPr>
              <w:t>升达亚洲</w:t>
            </w: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有限公司是一家于1988年在香港成立的有限责任公司，其主要在亚洲进行废物处理，以及与市政污水和工业污水处理相关的包括设计、建设、运营及维护的业务。</w:t>
            </w:r>
            <w:r>
              <w:rPr>
                <w:rFonts w:hint="eastAsia" w:ascii="FangSong_GB2312" w:hAnsi="Times New Roman" w:eastAsia="FangSong_GB2312"/>
                <w:sz w:val="28"/>
                <w:szCs w:val="28"/>
                <w:lang w:eastAsia="zh-CN"/>
              </w:rPr>
              <w:t>升达亚洲</w:t>
            </w:r>
            <w:bookmarkStart w:id="0" w:name="_GoBack"/>
            <w:bookmarkEnd w:id="0"/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在中国境内的主要业务为废物处理，以及与市政污水和工业污水处理相关的运营及维护的业务。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2、安徽临涣工业园循环经济发展有限公司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安徽临涣工业园循环经济发展有限公司是一家于2013年在中国境内成立的有限责任公司，是淮北市建投控股集团有限公司的全资子公司，其不在中国境外从事任何业务。在中国境内其主要从事淮北临涣工业园区基础设施的建设、养护及其投资、融资、经营管理业务，土地开发复垦熟化整理，园区综合开发、资源循环利用，园区公共资源经营管理，物业服务，房屋租赁，仓储物流服务，交通公路机械设备租赁，园林绿化与养护，设计、制作、代理国内户外广告业务，会务服务，展览展示服务，商务信息咨询服务，经销建材、钢材、木材、水泥及水泥制品、煤炭及煤炭制品、化工原料（不含危险化学品）、工程机械设备及配件、环保设备。淮北临涣工业园区基础设施的建设、养护及其投资、融资、经营管理业务，土地开发复垦熟化整理，园区综合开发、资源循环利用，园区公共资源经营管理，物业服务，房屋租赁，仓储物流服务，交通公路机械设备租赁，园林绿化与养护，设计、制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ascii="仿宋" w:hAnsi="仿宋" w:eastAsia="仿宋"/>
                <w:sz w:val="32"/>
                <w:szCs w:val="21"/>
              </w:rPr>
              <w:sym w:font="Wingdings" w:char="F0FE"/>
            </w: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相关市场：安徽省内工业危废焚烧市场、安徽省内工业危废填埋市场</w:t>
            </w:r>
          </w:p>
          <w:p>
            <w:p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市场份额：</w:t>
            </w:r>
          </w:p>
          <w:p>
            <w:pPr>
              <w:pStyle w:val="12"/>
              <w:numPr>
                <w:ilvl w:val="0"/>
                <w:numId w:val="1"/>
              </w:num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安徽省内工业危废焚烧市场：</w:t>
            </w:r>
          </w:p>
          <w:p>
            <w:pPr>
              <w:pStyle w:val="12"/>
              <w:numPr>
                <w:ilvl w:val="0"/>
                <w:numId w:val="2"/>
              </w:numPr>
              <w:spacing w:line="500" w:lineRule="exact"/>
              <w:rPr>
                <w:rFonts w:hint="eastAsia"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合营企业：</w:t>
            </w:r>
            <w:r>
              <w:rPr>
                <w:rFonts w:hint="eastAsia" w:ascii="FangSong_GB2312" w:hAnsi="Times New Roman" w:eastAsia="FangSong_GB2312"/>
                <w:sz w:val="28"/>
                <w:szCs w:val="28"/>
                <w:lang w:val="en-US" w:eastAsia="zh-CN"/>
              </w:rPr>
              <w:t>[</w:t>
            </w: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0</w:t>
            </w:r>
            <w:r>
              <w:rPr>
                <w:rFonts w:hint="eastAsia" w:ascii="FangSong_GB2312" w:hAnsi="Times New Roman" w:eastAsia="FangSong_GB2312"/>
                <w:sz w:val="28"/>
                <w:szCs w:val="28"/>
                <w:lang w:val="en-US" w:eastAsia="zh-CN"/>
              </w:rPr>
              <w:t>-5]%</w:t>
            </w:r>
          </w:p>
          <w:p>
            <w:pPr>
              <w:pStyle w:val="12"/>
              <w:numPr>
                <w:ilvl w:val="0"/>
                <w:numId w:val="1"/>
              </w:numPr>
              <w:spacing w:line="500" w:lineRule="exact"/>
              <w:rPr>
                <w:rFonts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安徽省内工业危废填埋市场：</w:t>
            </w:r>
          </w:p>
          <w:p>
            <w:pPr>
              <w:pStyle w:val="12"/>
              <w:numPr>
                <w:ilvl w:val="0"/>
                <w:numId w:val="2"/>
              </w:numPr>
              <w:spacing w:line="500" w:lineRule="exact"/>
              <w:rPr>
                <w:rFonts w:hint="eastAsia" w:ascii="FangSong_GB2312" w:hAnsi="Times New Roman" w:eastAsia="FangSong_GB2312"/>
                <w:sz w:val="28"/>
                <w:szCs w:val="28"/>
              </w:rPr>
            </w:pP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合营企业：</w:t>
            </w:r>
            <w:r>
              <w:rPr>
                <w:rFonts w:hint="eastAsia" w:ascii="FangSong_GB2312" w:hAnsi="Times New Roman" w:eastAsia="FangSong_GB2312"/>
                <w:sz w:val="28"/>
                <w:szCs w:val="28"/>
                <w:lang w:val="en-US" w:eastAsia="zh-CN"/>
              </w:rPr>
              <w:t>[</w:t>
            </w:r>
            <w:r>
              <w:rPr>
                <w:rFonts w:hint="eastAsia" w:ascii="FangSong_GB2312" w:hAnsi="Times New Roman" w:eastAsia="FangSong_GB2312"/>
                <w:sz w:val="28"/>
                <w:szCs w:val="28"/>
              </w:rPr>
              <w:t>0</w:t>
            </w:r>
            <w:r>
              <w:rPr>
                <w:rFonts w:hint="eastAsia" w:ascii="FangSong_GB2312" w:hAnsi="Times New Roman" w:eastAsia="FangSong_GB2312"/>
                <w:sz w:val="28"/>
                <w:szCs w:val="28"/>
                <w:lang w:val="en-US" w:eastAsia="zh-CN"/>
              </w:rPr>
              <w:t>-5]%</w:t>
            </w:r>
          </w:p>
        </w:tc>
      </w:tr>
    </w:tbl>
    <w:p>
      <w:pPr>
        <w:snapToGrid w:val="0"/>
        <w:spacing w:line="240" w:lineRule="exact"/>
        <w:jc w:val="left"/>
        <w:rPr>
          <w:rFonts w:ascii="KaiTi_GB2312" w:hAnsi="宋体" w:eastAsia="KaiTi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KaiTi_GB2312" w:hAnsi="宋体" w:eastAsia="KaiTi_GB2312"/>
          <w:sz w:val="24"/>
          <w:szCs w:val="24"/>
        </w:rPr>
      </w:pPr>
      <w:r>
        <w:rPr>
          <w:rFonts w:hint="eastAsia" w:ascii="KaiTi_GB2312" w:hAnsi="宋体" w:eastAsia="KaiTi_GB2312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KaiTi_GB2312" w:hAnsi="宋体" w:eastAsia="KaiTi_GB2312"/>
          <w:sz w:val="24"/>
          <w:szCs w:val="24"/>
        </w:rPr>
      </w:pPr>
      <w:r>
        <w:rPr>
          <w:rFonts w:hint="eastAsia" w:ascii="KaiTi_GB2312" w:hAnsi="宋体" w:eastAsia="KaiTi_GB2312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KaiTi_GB2312" w:hAnsi="Times New Roman" w:eastAsia="KaiTi_GB2312"/>
          <w:sz w:val="28"/>
          <w:szCs w:val="28"/>
        </w:rPr>
      </w:pPr>
      <w:r>
        <w:rPr>
          <w:rFonts w:hint="eastAsia" w:ascii="KaiTi_GB2312" w:hAnsi="宋体" w:eastAsia="KaiTi_GB2312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hint="eastAsia" w:ascii="KaiTi_GB2312" w:hAnsi="宋体" w:eastAsia="KaiTi_GB2312"/>
          <w:sz w:val="24"/>
          <w:szCs w:val="24"/>
        </w:rPr>
        <w:br w:type="textWrapping"/>
      </w:r>
      <w:r>
        <w:rPr>
          <w:rFonts w:hint="eastAsia" w:ascii="KaiTi_GB2312" w:hAnsi="宋体" w:eastAsia="KaiTi_GB2312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aiTi_GB2312">
    <w:altName w:val="宋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FangSong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35298"/>
    <w:multiLevelType w:val="multilevel"/>
    <w:tmpl w:val="16335298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A95E7C"/>
    <w:multiLevelType w:val="multilevel"/>
    <w:tmpl w:val="7BA95E7C"/>
    <w:lvl w:ilvl="0" w:tentative="0">
      <w:start w:val="1"/>
      <w:numFmt w:val="bullet"/>
      <w:lvlText w:val="-"/>
      <w:lvlJc w:val="left"/>
      <w:pPr>
        <w:ind w:left="1440" w:hanging="360"/>
      </w:pPr>
      <w:rPr>
        <w:rFonts w:hint="eastAsia" w:ascii="FangSong_GB2312" w:hAnsi="FangSong_GB2312" w:eastAsia="FangSong_GB2312" w:cs="Times New Roman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94095"/>
    <w:rsid w:val="00245776"/>
    <w:rsid w:val="0029549A"/>
    <w:rsid w:val="002A3524"/>
    <w:rsid w:val="002F2D60"/>
    <w:rsid w:val="00307976"/>
    <w:rsid w:val="003C5DD1"/>
    <w:rsid w:val="003D52AC"/>
    <w:rsid w:val="00462174"/>
    <w:rsid w:val="00574AD1"/>
    <w:rsid w:val="005D4D3E"/>
    <w:rsid w:val="005F167B"/>
    <w:rsid w:val="00AB6C08"/>
    <w:rsid w:val="00B955F5"/>
    <w:rsid w:val="00BA0750"/>
    <w:rsid w:val="00BB2377"/>
    <w:rsid w:val="00C9068E"/>
    <w:rsid w:val="00D21777"/>
    <w:rsid w:val="00E677B7"/>
    <w:rsid w:val="00ED21B1"/>
    <w:rsid w:val="00F87C1F"/>
    <w:rsid w:val="0C7B2D8F"/>
    <w:rsid w:val="2488471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9"/>
    <w:semiHidden/>
    <w:unhideWhenUsed/>
    <w:uiPriority w:val="99"/>
    <w:pPr>
      <w:snapToGrid w:val="0"/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endnote reference"/>
    <w:semiHidden/>
    <w:unhideWhenUsed/>
    <w:qFormat/>
    <w:uiPriority w:val="99"/>
    <w:rPr>
      <w:vertAlign w:val="superscript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9">
    <w:name w:val="Endnote Text Char"/>
    <w:basedOn w:val="5"/>
    <w:link w:val="2"/>
    <w:semiHidden/>
    <w:qFormat/>
    <w:uiPriority w:val="99"/>
  </w:style>
  <w:style w:type="character" w:customStyle="1" w:styleId="10">
    <w:name w:val="Header Char"/>
    <w:link w:val="4"/>
    <w:qFormat/>
    <w:uiPriority w:val="99"/>
    <w:rPr>
      <w:sz w:val="18"/>
      <w:szCs w:val="18"/>
    </w:rPr>
  </w:style>
  <w:style w:type="character" w:customStyle="1" w:styleId="11">
    <w:name w:val="Footer Char"/>
    <w:link w:val="3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6221E0-4840-41D2-83C3-91770E54DE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735</Words>
  <Characters>758</Characters>
  <Lines>30</Lines>
  <Paragraphs>30</Paragraphs>
  <TotalTime>1</TotalTime>
  <ScaleCrop>false</ScaleCrop>
  <LinksUpToDate>false</LinksUpToDate>
  <CharactersWithSpaces>1463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2014-10-08T03:52:00Z</dcterms:created>
  <dc:creator>dell</dc:creator>
  <cp:lastModifiedBy>linklaters</cp:lastModifiedBy>
  <cp:lastPrinted>2019-08-22T01:49:00Z</cp:lastPrinted>
  <dcterms:modified xsi:type="dcterms:W3CDTF">2019-08-26T02:53:40Z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A39659747</vt:lpwstr>
  </property>
  <property fmtid="{D5CDD505-2E9C-101B-9397-08002B2CF9AE}" pid="3" name="Version">
    <vt:lpwstr>0.0</vt:lpwstr>
  </property>
  <property fmtid="{D5CDD505-2E9C-101B-9397-08002B2CF9AE}" pid="4" name="Last Modified">
    <vt:lpwstr>31 Jul 2019</vt:lpwstr>
  </property>
  <property fmtid="{D5CDD505-2E9C-101B-9397-08002B2CF9AE}" pid="5" name="Matter Number">
    <vt:lpwstr>L-286815</vt:lpwstr>
  </property>
  <property fmtid="{D5CDD505-2E9C-101B-9397-08002B2CF9AE}" pid="6" name="Client Code">
    <vt:lpwstr>10690137</vt:lpwstr>
  </property>
  <property fmtid="{D5CDD505-2E9C-101B-9397-08002B2CF9AE}" pid="7" name="Mode">
    <vt:lpwstr>SendAs</vt:lpwstr>
  </property>
  <property fmtid="{D5CDD505-2E9C-101B-9397-08002B2CF9AE}" pid="8" name="DEDocumentLocation">
    <vt:lpwstr>C:\Users\qhu\AppData\Local\Linklaters\DocExplorer\Attachments\Calcutta - Simple Case Publicity Form_CHN.docx</vt:lpwstr>
  </property>
  <property fmtid="{D5CDD505-2E9C-101B-9397-08002B2CF9AE}" pid="9" name="ObjectID">
    <vt:lpwstr>09001dc89387ae07</vt:lpwstr>
  </property>
  <property fmtid="{D5CDD505-2E9C-101B-9397-08002B2CF9AE}" pid="10" name="_MarkAsFinal">
    <vt:bool>false</vt:bool>
  </property>
  <property fmtid="{D5CDD505-2E9C-101B-9397-08002B2CF9AE}" pid="11" name="KSOProductBuildVer">
    <vt:lpwstr>2052-10.1.0.7346</vt:lpwstr>
  </property>
</Properties>
</file>