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095" w:rsidRPr="00892B1D" w:rsidRDefault="00094095" w:rsidP="00094095">
      <w:pPr>
        <w:spacing w:line="480" w:lineRule="exact"/>
        <w:rPr>
          <w:rFonts w:ascii="楷体" w:eastAsia="楷体" w:hAnsi="楷体"/>
          <w:sz w:val="28"/>
          <w:szCs w:val="28"/>
        </w:rPr>
      </w:pPr>
    </w:p>
    <w:p w:rsidR="00094095" w:rsidRPr="00892B1D" w:rsidRDefault="00094095" w:rsidP="00094095">
      <w:pPr>
        <w:spacing w:line="440" w:lineRule="exact"/>
        <w:jc w:val="center"/>
        <w:rPr>
          <w:rFonts w:ascii="楷体" w:eastAsia="楷体" w:hAnsi="楷体"/>
          <w:sz w:val="30"/>
          <w:szCs w:val="30"/>
        </w:rPr>
      </w:pPr>
      <w:r w:rsidRPr="00892B1D">
        <w:rPr>
          <w:rFonts w:ascii="楷体" w:eastAsia="楷体" w:hAnsi="楷体" w:hint="eastAsia"/>
          <w:sz w:val="30"/>
          <w:szCs w:val="30"/>
        </w:rPr>
        <w:t>经营者集中简易案件公示表</w:t>
      </w:r>
    </w:p>
    <w:p w:rsidR="00094095" w:rsidRPr="00892B1D" w:rsidRDefault="00094095" w:rsidP="00094095">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892B1D" w:rsidRPr="00892B1D" w:rsidTr="002F2D60">
        <w:tc>
          <w:tcPr>
            <w:tcW w:w="1809" w:type="dxa"/>
            <w:shd w:val="clear" w:color="auto" w:fill="D9D9D9"/>
          </w:tcPr>
          <w:p w:rsidR="00094095" w:rsidRPr="00892B1D" w:rsidRDefault="00094095"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案件名称</w:t>
            </w:r>
          </w:p>
        </w:tc>
        <w:tc>
          <w:tcPr>
            <w:tcW w:w="6949" w:type="dxa"/>
            <w:gridSpan w:val="2"/>
            <w:shd w:val="clear" w:color="auto" w:fill="auto"/>
          </w:tcPr>
          <w:p w:rsidR="00094095" w:rsidRPr="00892B1D" w:rsidRDefault="00DF1F37" w:rsidP="006B512F">
            <w:pPr>
              <w:spacing w:line="500" w:lineRule="exact"/>
              <w:rPr>
                <w:rFonts w:ascii="Times New Roman" w:eastAsia="楷体" w:hAnsi="Times New Roman"/>
                <w:sz w:val="28"/>
                <w:szCs w:val="28"/>
              </w:rPr>
            </w:pPr>
            <w:r w:rsidRPr="00892B1D">
              <w:rPr>
                <w:rFonts w:ascii="Times New Roman" w:eastAsia="楷体" w:hAnsi="Times New Roman" w:hint="eastAsia"/>
                <w:sz w:val="28"/>
                <w:szCs w:val="28"/>
              </w:rPr>
              <w:t>中国永达汽车服务控股有限公司收购英之杰亚洲太平洋有限公司股权案</w:t>
            </w:r>
          </w:p>
        </w:tc>
      </w:tr>
      <w:tr w:rsidR="00892B1D" w:rsidRPr="00892B1D" w:rsidTr="002F2D60">
        <w:trPr>
          <w:trHeight w:val="993"/>
        </w:trPr>
        <w:tc>
          <w:tcPr>
            <w:tcW w:w="1809" w:type="dxa"/>
            <w:shd w:val="clear" w:color="auto" w:fill="D9D9D9"/>
          </w:tcPr>
          <w:p w:rsidR="00094095" w:rsidRPr="00892B1D" w:rsidRDefault="00094095"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交易概况（限</w:t>
            </w:r>
            <w:r w:rsidRPr="00892B1D">
              <w:rPr>
                <w:rFonts w:ascii="Times New Roman" w:eastAsia="楷体" w:hAnsi="Times New Roman"/>
                <w:sz w:val="28"/>
                <w:szCs w:val="28"/>
              </w:rPr>
              <w:t>200</w:t>
            </w:r>
            <w:r w:rsidRPr="00892B1D">
              <w:rPr>
                <w:rFonts w:ascii="Times New Roman" w:eastAsia="楷体" w:hAnsi="Times New Roman"/>
                <w:sz w:val="28"/>
                <w:szCs w:val="28"/>
              </w:rPr>
              <w:t>字内）</w:t>
            </w:r>
          </w:p>
        </w:tc>
        <w:tc>
          <w:tcPr>
            <w:tcW w:w="6949" w:type="dxa"/>
            <w:gridSpan w:val="2"/>
            <w:shd w:val="clear" w:color="auto" w:fill="auto"/>
          </w:tcPr>
          <w:p w:rsidR="00094095" w:rsidRPr="00892B1D" w:rsidRDefault="00DF1F37" w:rsidP="003B6758">
            <w:pPr>
              <w:spacing w:line="500" w:lineRule="exact"/>
              <w:rPr>
                <w:rFonts w:ascii="Times New Roman" w:eastAsia="楷体" w:hAnsi="Times New Roman"/>
                <w:sz w:val="28"/>
                <w:szCs w:val="28"/>
              </w:rPr>
            </w:pPr>
            <w:r w:rsidRPr="00892B1D">
              <w:rPr>
                <w:rFonts w:ascii="Times New Roman" w:eastAsia="楷体" w:hAnsi="Times New Roman" w:hint="eastAsia"/>
                <w:sz w:val="28"/>
                <w:szCs w:val="28"/>
              </w:rPr>
              <w:t>中国永达汽车</w:t>
            </w:r>
            <w:bookmarkStart w:id="0" w:name="_GoBack"/>
            <w:bookmarkEnd w:id="0"/>
            <w:r w:rsidRPr="00892B1D">
              <w:rPr>
                <w:rFonts w:ascii="Times New Roman" w:eastAsia="楷体" w:hAnsi="Times New Roman" w:hint="eastAsia"/>
                <w:sz w:val="28"/>
                <w:szCs w:val="28"/>
              </w:rPr>
              <w:t>服务控股有限公司（“</w:t>
            </w:r>
            <w:r w:rsidRPr="00892B1D">
              <w:rPr>
                <w:rFonts w:ascii="楷体" w:eastAsia="楷体" w:hAnsi="楷体" w:hint="eastAsia"/>
                <w:b/>
                <w:bCs/>
                <w:sz w:val="28"/>
                <w:szCs w:val="28"/>
              </w:rPr>
              <w:t>中国永达</w:t>
            </w:r>
            <w:r w:rsidRPr="00892B1D">
              <w:rPr>
                <w:rFonts w:ascii="楷体" w:eastAsia="楷体" w:hAnsi="楷体" w:hint="eastAsia"/>
                <w:sz w:val="28"/>
                <w:szCs w:val="28"/>
              </w:rPr>
              <w:t>”）准备收购英之杰海外有限公司持有的英之杰亚洲太平洋有限公司（“</w:t>
            </w:r>
            <w:r w:rsidRPr="00892B1D">
              <w:rPr>
                <w:rFonts w:ascii="楷体" w:eastAsia="楷体" w:hAnsi="楷体" w:hint="eastAsia"/>
                <w:b/>
                <w:bCs/>
                <w:sz w:val="28"/>
                <w:szCs w:val="28"/>
              </w:rPr>
              <w:t>英之杰亚太</w:t>
            </w:r>
            <w:r w:rsidRPr="00892B1D">
              <w:rPr>
                <w:rFonts w:ascii="楷体" w:eastAsia="楷体" w:hAnsi="楷体" w:hint="eastAsia"/>
                <w:sz w:val="28"/>
                <w:szCs w:val="28"/>
              </w:rPr>
              <w:t>”）及其子公司全部股权。</w:t>
            </w:r>
          </w:p>
        </w:tc>
      </w:tr>
      <w:tr w:rsidR="00892B1D" w:rsidRPr="00892B1D" w:rsidTr="00840BC1">
        <w:trPr>
          <w:trHeight w:val="916"/>
        </w:trPr>
        <w:tc>
          <w:tcPr>
            <w:tcW w:w="1809" w:type="dxa"/>
            <w:vMerge w:val="restart"/>
            <w:shd w:val="clear" w:color="auto" w:fill="D9D9D9"/>
          </w:tcPr>
          <w:p w:rsidR="00094095" w:rsidRPr="00892B1D" w:rsidRDefault="00094095"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参与集中的经营者简介</w:t>
            </w:r>
          </w:p>
        </w:tc>
        <w:tc>
          <w:tcPr>
            <w:tcW w:w="1796" w:type="dxa"/>
            <w:shd w:val="clear" w:color="auto" w:fill="auto"/>
          </w:tcPr>
          <w:p w:rsidR="00094095" w:rsidRPr="00892B1D" w:rsidRDefault="00094095"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1</w:t>
            </w:r>
            <w:r w:rsidRPr="00892B1D">
              <w:rPr>
                <w:rFonts w:ascii="Times New Roman" w:eastAsia="楷体" w:hAnsi="Times New Roman"/>
                <w:sz w:val="28"/>
                <w:szCs w:val="28"/>
              </w:rPr>
              <w:t>、</w:t>
            </w:r>
            <w:r w:rsidR="00DF1F37" w:rsidRPr="00892B1D">
              <w:rPr>
                <w:rFonts w:ascii="Times New Roman" w:eastAsia="楷体" w:hAnsi="Times New Roman" w:hint="eastAsia"/>
                <w:sz w:val="28"/>
                <w:szCs w:val="28"/>
              </w:rPr>
              <w:t>中国永达</w:t>
            </w:r>
          </w:p>
        </w:tc>
        <w:tc>
          <w:tcPr>
            <w:tcW w:w="5153" w:type="dxa"/>
            <w:shd w:val="clear" w:color="auto" w:fill="auto"/>
          </w:tcPr>
          <w:p w:rsidR="00094095" w:rsidRPr="00892B1D" w:rsidRDefault="006B793F" w:rsidP="00840BC1">
            <w:pPr>
              <w:spacing w:line="500" w:lineRule="exact"/>
              <w:rPr>
                <w:rFonts w:ascii="Times New Roman" w:eastAsia="楷体" w:hAnsi="Times New Roman"/>
                <w:sz w:val="28"/>
                <w:szCs w:val="28"/>
              </w:rPr>
            </w:pPr>
            <w:r w:rsidRPr="00892B1D">
              <w:rPr>
                <w:rFonts w:ascii="楷体" w:eastAsia="楷体" w:hAnsi="楷体" w:hint="eastAsia"/>
                <w:bCs/>
                <w:kern w:val="0"/>
                <w:sz w:val="28"/>
                <w:szCs w:val="28"/>
              </w:rPr>
              <w:t>中国永达是一家投资控股公司。中国永达通过其关联实体在中国境内主要从事乘用车销售业务、售后服务（维修、保养）业务、汽车租赁业务、汽车融资租赁及小额贷款业务、分销汽车金融保险产品业务。</w:t>
            </w:r>
          </w:p>
        </w:tc>
      </w:tr>
      <w:tr w:rsidR="00892B1D" w:rsidRPr="00892B1D" w:rsidTr="008355D3">
        <w:trPr>
          <w:trHeight w:val="1010"/>
        </w:trPr>
        <w:tc>
          <w:tcPr>
            <w:tcW w:w="1809" w:type="dxa"/>
            <w:vMerge/>
            <w:shd w:val="clear" w:color="auto" w:fill="D9D9D9"/>
          </w:tcPr>
          <w:p w:rsidR="00840BC1" w:rsidRPr="00892B1D" w:rsidRDefault="00840BC1" w:rsidP="002F2D60">
            <w:pPr>
              <w:spacing w:line="500" w:lineRule="exact"/>
              <w:rPr>
                <w:rFonts w:ascii="Times New Roman" w:eastAsia="楷体" w:hAnsi="Times New Roman"/>
                <w:sz w:val="28"/>
                <w:szCs w:val="28"/>
              </w:rPr>
            </w:pPr>
          </w:p>
        </w:tc>
        <w:tc>
          <w:tcPr>
            <w:tcW w:w="1796" w:type="dxa"/>
            <w:shd w:val="clear" w:color="auto" w:fill="auto"/>
          </w:tcPr>
          <w:p w:rsidR="00840BC1" w:rsidRPr="00892B1D" w:rsidRDefault="00840BC1"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2</w:t>
            </w:r>
            <w:r w:rsidRPr="00892B1D">
              <w:rPr>
                <w:rFonts w:ascii="Times New Roman" w:eastAsia="楷体" w:hAnsi="Times New Roman"/>
                <w:sz w:val="28"/>
                <w:szCs w:val="28"/>
              </w:rPr>
              <w:t>、</w:t>
            </w:r>
            <w:r w:rsidR="00DF1F37" w:rsidRPr="00892B1D">
              <w:rPr>
                <w:rFonts w:ascii="Times New Roman" w:eastAsia="楷体" w:hAnsi="Times New Roman" w:hint="eastAsia"/>
                <w:sz w:val="28"/>
                <w:szCs w:val="28"/>
              </w:rPr>
              <w:t>英之杰亚太</w:t>
            </w:r>
          </w:p>
        </w:tc>
        <w:tc>
          <w:tcPr>
            <w:tcW w:w="5153" w:type="dxa"/>
            <w:shd w:val="clear" w:color="auto" w:fill="auto"/>
          </w:tcPr>
          <w:p w:rsidR="00840BC1" w:rsidRPr="00892B1D" w:rsidRDefault="00DF1F37" w:rsidP="00840BC1">
            <w:pPr>
              <w:spacing w:line="500" w:lineRule="exact"/>
              <w:rPr>
                <w:rFonts w:ascii="Times New Roman" w:eastAsia="楷体" w:hAnsi="Times New Roman"/>
                <w:sz w:val="28"/>
                <w:szCs w:val="28"/>
              </w:rPr>
            </w:pPr>
            <w:r w:rsidRPr="00892B1D">
              <w:rPr>
                <w:rFonts w:ascii="Times New Roman" w:eastAsia="楷体" w:hAnsi="Times New Roman" w:hint="eastAsia"/>
                <w:sz w:val="28"/>
                <w:szCs w:val="28"/>
              </w:rPr>
              <w:t>英之杰亚太在中国境内从事豪华品牌乘用车零售业务。</w:t>
            </w:r>
          </w:p>
        </w:tc>
      </w:tr>
      <w:tr w:rsidR="00892B1D" w:rsidRPr="00892B1D" w:rsidTr="002F2D60">
        <w:trPr>
          <w:trHeight w:val="279"/>
        </w:trPr>
        <w:tc>
          <w:tcPr>
            <w:tcW w:w="1809" w:type="dxa"/>
            <w:vMerge w:val="restart"/>
            <w:shd w:val="clear" w:color="auto" w:fill="D9D9D9"/>
          </w:tcPr>
          <w:p w:rsidR="00094095" w:rsidRPr="00892B1D" w:rsidRDefault="00094095" w:rsidP="00BB2377">
            <w:pPr>
              <w:spacing w:line="500" w:lineRule="exact"/>
              <w:rPr>
                <w:rFonts w:ascii="Times New Roman" w:eastAsia="楷体" w:hAnsi="Times New Roman"/>
                <w:sz w:val="28"/>
                <w:szCs w:val="28"/>
              </w:rPr>
            </w:pPr>
            <w:r w:rsidRPr="00892B1D">
              <w:rPr>
                <w:rFonts w:ascii="Times New Roman" w:eastAsia="楷体" w:hAnsi="Times New Roman"/>
                <w:sz w:val="28"/>
                <w:szCs w:val="28"/>
              </w:rPr>
              <w:t>简易案件理由（</w:t>
            </w:r>
            <w:r w:rsidR="005F167B" w:rsidRPr="00892B1D">
              <w:rPr>
                <w:rFonts w:ascii="Times New Roman" w:eastAsia="楷体" w:hAnsi="Times New Roman"/>
                <w:sz w:val="28"/>
                <w:szCs w:val="28"/>
              </w:rPr>
              <w:t>可以单选，也可以多选</w:t>
            </w:r>
            <w:r w:rsidRPr="00892B1D">
              <w:rPr>
                <w:rFonts w:ascii="Times New Roman" w:eastAsia="楷体" w:hAnsi="Times New Roman"/>
                <w:sz w:val="28"/>
                <w:szCs w:val="28"/>
              </w:rPr>
              <w:t>）</w:t>
            </w:r>
          </w:p>
        </w:tc>
        <w:tc>
          <w:tcPr>
            <w:tcW w:w="6949" w:type="dxa"/>
            <w:gridSpan w:val="2"/>
            <w:shd w:val="clear" w:color="auto" w:fill="auto"/>
          </w:tcPr>
          <w:p w:rsidR="00094095" w:rsidRPr="00892B1D" w:rsidRDefault="00840BC1"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sym w:font="Wingdings" w:char="F0FE"/>
            </w:r>
            <w:r w:rsidR="00094095" w:rsidRPr="00892B1D">
              <w:rPr>
                <w:rFonts w:ascii="Times New Roman" w:eastAsia="楷体" w:hAnsi="Times New Roman"/>
                <w:sz w:val="28"/>
                <w:szCs w:val="28"/>
              </w:rPr>
              <w:t>1</w:t>
            </w:r>
            <w:r w:rsidR="00094095" w:rsidRPr="00892B1D">
              <w:rPr>
                <w:rFonts w:ascii="Times New Roman" w:eastAsia="楷体" w:hAnsi="Times New Roman"/>
                <w:sz w:val="28"/>
                <w:szCs w:val="28"/>
              </w:rPr>
              <w:t>、在同一相关市场，所有参与集中的经营者所占市场份额之和小于</w:t>
            </w:r>
            <w:r w:rsidR="00094095" w:rsidRPr="00892B1D">
              <w:rPr>
                <w:rFonts w:ascii="Times New Roman" w:eastAsia="楷体" w:hAnsi="Times New Roman"/>
                <w:sz w:val="28"/>
                <w:szCs w:val="28"/>
              </w:rPr>
              <w:t>15%</w:t>
            </w:r>
            <w:r w:rsidR="00094095" w:rsidRPr="00892B1D">
              <w:rPr>
                <w:rFonts w:ascii="Times New Roman" w:eastAsia="楷体" w:hAnsi="Times New Roman"/>
                <w:sz w:val="28"/>
                <w:szCs w:val="28"/>
              </w:rPr>
              <w:t>。</w:t>
            </w:r>
          </w:p>
        </w:tc>
      </w:tr>
      <w:tr w:rsidR="00892B1D" w:rsidRPr="00892B1D" w:rsidTr="002F2D60">
        <w:trPr>
          <w:trHeight w:val="330"/>
        </w:trPr>
        <w:tc>
          <w:tcPr>
            <w:tcW w:w="1809" w:type="dxa"/>
            <w:vMerge/>
            <w:shd w:val="clear" w:color="auto" w:fill="D9D9D9"/>
          </w:tcPr>
          <w:p w:rsidR="00094095" w:rsidRPr="00892B1D" w:rsidRDefault="00094095" w:rsidP="002F2D60">
            <w:pPr>
              <w:spacing w:line="500" w:lineRule="exact"/>
              <w:rPr>
                <w:rFonts w:ascii="Times New Roman" w:eastAsia="楷体" w:hAnsi="Times New Roman"/>
                <w:sz w:val="28"/>
                <w:szCs w:val="28"/>
              </w:rPr>
            </w:pPr>
          </w:p>
        </w:tc>
        <w:tc>
          <w:tcPr>
            <w:tcW w:w="6949" w:type="dxa"/>
            <w:gridSpan w:val="2"/>
            <w:shd w:val="clear" w:color="auto" w:fill="auto"/>
          </w:tcPr>
          <w:p w:rsidR="00094095" w:rsidRPr="00892B1D" w:rsidRDefault="00DF1F37"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w:t>
            </w:r>
            <w:r w:rsidR="00094095" w:rsidRPr="00892B1D">
              <w:rPr>
                <w:rFonts w:ascii="Times New Roman" w:eastAsia="楷体" w:hAnsi="Times New Roman"/>
                <w:sz w:val="28"/>
                <w:szCs w:val="28"/>
              </w:rPr>
              <w:t>2</w:t>
            </w:r>
            <w:r w:rsidR="00094095" w:rsidRPr="00892B1D">
              <w:rPr>
                <w:rFonts w:ascii="Times New Roman" w:eastAsia="楷体" w:hAnsi="Times New Roman"/>
                <w:sz w:val="28"/>
                <w:szCs w:val="28"/>
              </w:rPr>
              <w:t>、存在上下游关系的参与集中的经营者，在上下游市场所占的市场份额均小于</w:t>
            </w:r>
            <w:r w:rsidR="00094095" w:rsidRPr="00892B1D">
              <w:rPr>
                <w:rFonts w:ascii="Times New Roman" w:eastAsia="楷体" w:hAnsi="Times New Roman"/>
                <w:sz w:val="28"/>
                <w:szCs w:val="28"/>
              </w:rPr>
              <w:t>25%</w:t>
            </w:r>
            <w:r w:rsidR="00094095" w:rsidRPr="00892B1D">
              <w:rPr>
                <w:rFonts w:ascii="Times New Roman" w:eastAsia="楷体" w:hAnsi="Times New Roman"/>
                <w:sz w:val="28"/>
                <w:szCs w:val="28"/>
              </w:rPr>
              <w:t>。</w:t>
            </w:r>
          </w:p>
        </w:tc>
      </w:tr>
      <w:tr w:rsidR="00892B1D" w:rsidRPr="00892B1D" w:rsidTr="002F2D60">
        <w:trPr>
          <w:trHeight w:val="285"/>
        </w:trPr>
        <w:tc>
          <w:tcPr>
            <w:tcW w:w="1809" w:type="dxa"/>
            <w:vMerge/>
            <w:shd w:val="clear" w:color="auto" w:fill="D9D9D9"/>
          </w:tcPr>
          <w:p w:rsidR="00094095" w:rsidRPr="00892B1D" w:rsidRDefault="00094095" w:rsidP="002F2D60">
            <w:pPr>
              <w:spacing w:line="500" w:lineRule="exact"/>
              <w:rPr>
                <w:rFonts w:ascii="Times New Roman" w:eastAsia="楷体" w:hAnsi="Times New Roman"/>
                <w:sz w:val="28"/>
                <w:szCs w:val="28"/>
              </w:rPr>
            </w:pPr>
          </w:p>
        </w:tc>
        <w:tc>
          <w:tcPr>
            <w:tcW w:w="6949" w:type="dxa"/>
            <w:gridSpan w:val="2"/>
            <w:shd w:val="clear" w:color="auto" w:fill="auto"/>
          </w:tcPr>
          <w:p w:rsidR="00094095" w:rsidRPr="00892B1D" w:rsidRDefault="00094095"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□3</w:t>
            </w:r>
            <w:r w:rsidRPr="00892B1D">
              <w:rPr>
                <w:rFonts w:ascii="Times New Roman" w:eastAsia="楷体" w:hAnsi="Times New Roman"/>
                <w:sz w:val="28"/>
                <w:szCs w:val="28"/>
              </w:rPr>
              <w:t>、不在同一相关市场、也不存在上下游关系的参与集中的经营者，在与交易有关的每个市场所占的份额均小于</w:t>
            </w:r>
            <w:r w:rsidRPr="00892B1D">
              <w:rPr>
                <w:rFonts w:ascii="Times New Roman" w:eastAsia="楷体" w:hAnsi="Times New Roman"/>
                <w:sz w:val="28"/>
                <w:szCs w:val="28"/>
              </w:rPr>
              <w:t>25%</w:t>
            </w:r>
            <w:r w:rsidRPr="00892B1D">
              <w:rPr>
                <w:rFonts w:ascii="Times New Roman" w:eastAsia="楷体" w:hAnsi="Times New Roman"/>
                <w:sz w:val="28"/>
                <w:szCs w:val="28"/>
              </w:rPr>
              <w:t>。</w:t>
            </w:r>
          </w:p>
        </w:tc>
      </w:tr>
      <w:tr w:rsidR="00892B1D" w:rsidRPr="00892B1D" w:rsidTr="002F2D60">
        <w:trPr>
          <w:trHeight w:val="870"/>
        </w:trPr>
        <w:tc>
          <w:tcPr>
            <w:tcW w:w="1809" w:type="dxa"/>
            <w:vMerge/>
            <w:shd w:val="clear" w:color="auto" w:fill="D9D9D9"/>
          </w:tcPr>
          <w:p w:rsidR="00094095" w:rsidRPr="00892B1D" w:rsidRDefault="00094095" w:rsidP="002F2D60">
            <w:pPr>
              <w:spacing w:line="500" w:lineRule="exact"/>
              <w:rPr>
                <w:rFonts w:ascii="Times New Roman" w:eastAsia="楷体" w:hAnsi="Times New Roman"/>
                <w:sz w:val="28"/>
                <w:szCs w:val="28"/>
              </w:rPr>
            </w:pPr>
          </w:p>
        </w:tc>
        <w:tc>
          <w:tcPr>
            <w:tcW w:w="6949" w:type="dxa"/>
            <w:gridSpan w:val="2"/>
            <w:shd w:val="clear" w:color="auto" w:fill="auto"/>
          </w:tcPr>
          <w:p w:rsidR="00094095" w:rsidRPr="00892B1D" w:rsidRDefault="00094095"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□4</w:t>
            </w:r>
            <w:r w:rsidRPr="00892B1D">
              <w:rPr>
                <w:rFonts w:ascii="Times New Roman" w:eastAsia="楷体" w:hAnsi="Times New Roman"/>
                <w:sz w:val="28"/>
                <w:szCs w:val="28"/>
              </w:rPr>
              <w:t>、参与集中的经营者在中国境外设立合营企业，合营企业不在中国境内从事经济活动。</w:t>
            </w:r>
          </w:p>
        </w:tc>
      </w:tr>
      <w:tr w:rsidR="00892B1D" w:rsidRPr="00892B1D" w:rsidTr="002F2D60">
        <w:trPr>
          <w:trHeight w:val="264"/>
        </w:trPr>
        <w:tc>
          <w:tcPr>
            <w:tcW w:w="1809" w:type="dxa"/>
            <w:vMerge/>
            <w:shd w:val="clear" w:color="auto" w:fill="D9D9D9"/>
          </w:tcPr>
          <w:p w:rsidR="00094095" w:rsidRPr="00892B1D" w:rsidRDefault="00094095" w:rsidP="002F2D60">
            <w:pPr>
              <w:spacing w:line="500" w:lineRule="exact"/>
              <w:rPr>
                <w:rFonts w:ascii="Times New Roman" w:eastAsia="楷体" w:hAnsi="Times New Roman"/>
                <w:sz w:val="28"/>
                <w:szCs w:val="28"/>
              </w:rPr>
            </w:pPr>
          </w:p>
        </w:tc>
        <w:tc>
          <w:tcPr>
            <w:tcW w:w="6949" w:type="dxa"/>
            <w:gridSpan w:val="2"/>
            <w:shd w:val="clear" w:color="auto" w:fill="auto"/>
          </w:tcPr>
          <w:p w:rsidR="00094095" w:rsidRPr="00892B1D" w:rsidRDefault="00094095"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□5</w:t>
            </w:r>
            <w:r w:rsidRPr="00892B1D">
              <w:rPr>
                <w:rFonts w:ascii="Times New Roman" w:eastAsia="楷体" w:hAnsi="Times New Roman"/>
                <w:sz w:val="28"/>
                <w:szCs w:val="28"/>
              </w:rPr>
              <w:t>、参与集中的经营者收购境外企业股权或资产的，该境外企业不在中国境内从事经济活动。</w:t>
            </w:r>
          </w:p>
        </w:tc>
      </w:tr>
      <w:tr w:rsidR="00892B1D" w:rsidRPr="00892B1D" w:rsidTr="002F2D60">
        <w:trPr>
          <w:trHeight w:val="345"/>
        </w:trPr>
        <w:tc>
          <w:tcPr>
            <w:tcW w:w="1809" w:type="dxa"/>
            <w:vMerge/>
            <w:shd w:val="clear" w:color="auto" w:fill="D9D9D9"/>
          </w:tcPr>
          <w:p w:rsidR="00094095" w:rsidRPr="00892B1D" w:rsidRDefault="00094095" w:rsidP="002F2D60">
            <w:pPr>
              <w:spacing w:line="500" w:lineRule="exact"/>
              <w:rPr>
                <w:rFonts w:ascii="Times New Roman" w:eastAsia="楷体" w:hAnsi="Times New Roman"/>
                <w:sz w:val="28"/>
                <w:szCs w:val="28"/>
              </w:rPr>
            </w:pPr>
          </w:p>
        </w:tc>
        <w:tc>
          <w:tcPr>
            <w:tcW w:w="6949" w:type="dxa"/>
            <w:gridSpan w:val="2"/>
            <w:shd w:val="clear" w:color="auto" w:fill="auto"/>
          </w:tcPr>
          <w:p w:rsidR="00094095" w:rsidRPr="00892B1D" w:rsidRDefault="00DF1F37"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w:t>
            </w:r>
            <w:r w:rsidR="00094095" w:rsidRPr="00892B1D">
              <w:rPr>
                <w:rFonts w:ascii="Times New Roman" w:eastAsia="楷体" w:hAnsi="Times New Roman"/>
                <w:sz w:val="28"/>
                <w:szCs w:val="28"/>
              </w:rPr>
              <w:t>6</w:t>
            </w:r>
            <w:r w:rsidR="00094095" w:rsidRPr="00892B1D">
              <w:rPr>
                <w:rFonts w:ascii="Times New Roman" w:eastAsia="楷体" w:hAnsi="Times New Roman"/>
                <w:sz w:val="28"/>
                <w:szCs w:val="28"/>
              </w:rPr>
              <w:t>、由两个以上的经营者共同控制的合营企业，通过集中被其中一个或一个以上经营者控制。</w:t>
            </w:r>
          </w:p>
        </w:tc>
      </w:tr>
      <w:tr w:rsidR="00892B1D" w:rsidRPr="00892B1D" w:rsidTr="002F2D60">
        <w:tc>
          <w:tcPr>
            <w:tcW w:w="1809" w:type="dxa"/>
            <w:shd w:val="clear" w:color="auto" w:fill="D9D9D9"/>
          </w:tcPr>
          <w:p w:rsidR="00094095" w:rsidRPr="00892B1D" w:rsidRDefault="00094095" w:rsidP="002F2D60">
            <w:pPr>
              <w:spacing w:line="500" w:lineRule="exact"/>
              <w:rPr>
                <w:rFonts w:ascii="Times New Roman" w:eastAsia="楷体" w:hAnsi="Times New Roman"/>
                <w:sz w:val="28"/>
                <w:szCs w:val="28"/>
              </w:rPr>
            </w:pPr>
            <w:r w:rsidRPr="00892B1D">
              <w:rPr>
                <w:rFonts w:ascii="Times New Roman" w:eastAsia="楷体" w:hAnsi="Times New Roman"/>
                <w:sz w:val="28"/>
                <w:szCs w:val="28"/>
              </w:rPr>
              <w:t>备注</w:t>
            </w:r>
          </w:p>
        </w:tc>
        <w:tc>
          <w:tcPr>
            <w:tcW w:w="6949" w:type="dxa"/>
            <w:gridSpan w:val="2"/>
            <w:shd w:val="clear" w:color="auto" w:fill="auto"/>
          </w:tcPr>
          <w:p w:rsidR="006E2EF4" w:rsidRPr="00892B1D" w:rsidRDefault="00DF1F37" w:rsidP="002F2D60">
            <w:pPr>
              <w:spacing w:line="500" w:lineRule="exact"/>
              <w:rPr>
                <w:rFonts w:ascii="Times New Roman" w:eastAsia="楷体" w:hAnsi="Times New Roman"/>
                <w:sz w:val="28"/>
                <w:szCs w:val="28"/>
              </w:rPr>
            </w:pPr>
            <w:r w:rsidRPr="00892B1D">
              <w:rPr>
                <w:rFonts w:ascii="Times New Roman" w:eastAsia="楷体" w:hAnsi="Times New Roman" w:hint="eastAsia"/>
                <w:sz w:val="28"/>
                <w:szCs w:val="28"/>
              </w:rPr>
              <w:t>相关产品市场：豪华品牌乘用车</w:t>
            </w:r>
            <w:r w:rsidRPr="00892B1D">
              <w:rPr>
                <w:rFonts w:ascii="Times New Roman" w:eastAsia="楷体" w:hAnsi="Times New Roman" w:hint="eastAsia"/>
                <w:sz w:val="28"/>
                <w:szCs w:val="28"/>
              </w:rPr>
              <w:t>4S</w:t>
            </w:r>
            <w:r w:rsidRPr="00892B1D">
              <w:rPr>
                <w:rFonts w:ascii="Times New Roman" w:eastAsia="楷体" w:hAnsi="Times New Roman" w:hint="eastAsia"/>
                <w:sz w:val="28"/>
                <w:szCs w:val="28"/>
              </w:rPr>
              <w:t>店销售服务市场</w:t>
            </w:r>
          </w:p>
          <w:p w:rsidR="00DF1F37" w:rsidRPr="00892B1D" w:rsidRDefault="00DF1F37" w:rsidP="002F2D60">
            <w:pPr>
              <w:spacing w:line="500" w:lineRule="exact"/>
              <w:rPr>
                <w:rFonts w:ascii="Times New Roman" w:eastAsia="楷体" w:hAnsi="Times New Roman"/>
                <w:sz w:val="28"/>
                <w:szCs w:val="28"/>
              </w:rPr>
            </w:pPr>
            <w:r w:rsidRPr="00892B1D">
              <w:rPr>
                <w:rFonts w:ascii="Times New Roman" w:eastAsia="楷体" w:hAnsi="Times New Roman" w:hint="eastAsia"/>
                <w:sz w:val="28"/>
                <w:szCs w:val="28"/>
              </w:rPr>
              <w:t>相关地域市场：绍兴市</w:t>
            </w:r>
          </w:p>
          <w:p w:rsidR="00DF1F37" w:rsidRPr="00892B1D" w:rsidRDefault="00DF1F37" w:rsidP="002F2D60">
            <w:pPr>
              <w:spacing w:line="500" w:lineRule="exact"/>
              <w:rPr>
                <w:rFonts w:ascii="Times New Roman" w:eastAsia="楷体" w:hAnsi="Times New Roman"/>
                <w:sz w:val="28"/>
                <w:szCs w:val="28"/>
              </w:rPr>
            </w:pPr>
            <w:r w:rsidRPr="00892B1D">
              <w:rPr>
                <w:rFonts w:ascii="Times New Roman" w:eastAsia="楷体" w:hAnsi="Times New Roman" w:hint="eastAsia"/>
                <w:sz w:val="28"/>
                <w:szCs w:val="28"/>
              </w:rPr>
              <w:t>市场份额：中国永达与英之杰亚太合并市场份额为</w:t>
            </w:r>
            <w:r w:rsidRPr="00892B1D">
              <w:rPr>
                <w:rFonts w:ascii="Times New Roman" w:eastAsia="楷体" w:hAnsi="Times New Roman" w:hint="eastAsia"/>
                <w:sz w:val="28"/>
                <w:szCs w:val="28"/>
              </w:rPr>
              <w:t>[5-10</w:t>
            </w:r>
            <w:r w:rsidRPr="00892B1D">
              <w:rPr>
                <w:rFonts w:ascii="Times New Roman" w:eastAsia="楷体" w:hAnsi="Times New Roman"/>
                <w:sz w:val="28"/>
                <w:szCs w:val="28"/>
              </w:rPr>
              <w:t>]</w:t>
            </w:r>
            <w:r w:rsidRPr="00892B1D">
              <w:rPr>
                <w:rFonts w:ascii="Times New Roman" w:eastAsia="楷体" w:hAnsi="Times New Roman" w:hint="eastAsia"/>
                <w:sz w:val="28"/>
                <w:szCs w:val="28"/>
              </w:rPr>
              <w:t>%</w:t>
            </w:r>
          </w:p>
        </w:tc>
      </w:tr>
    </w:tbl>
    <w:p w:rsidR="00BB2377" w:rsidRPr="00892B1D" w:rsidRDefault="00BB2377" w:rsidP="00BB2377">
      <w:pPr>
        <w:snapToGrid w:val="0"/>
        <w:spacing w:line="240" w:lineRule="exact"/>
        <w:jc w:val="left"/>
        <w:rPr>
          <w:rFonts w:ascii="楷体_GB2312" w:eastAsia="楷体_GB2312" w:hAnsi="宋体"/>
          <w:sz w:val="24"/>
          <w:szCs w:val="24"/>
        </w:rPr>
      </w:pPr>
    </w:p>
    <w:p w:rsidR="005F167B" w:rsidRPr="00892B1D" w:rsidRDefault="005F167B" w:rsidP="00BB2377">
      <w:pPr>
        <w:snapToGrid w:val="0"/>
        <w:spacing w:line="240" w:lineRule="exact"/>
        <w:jc w:val="left"/>
        <w:rPr>
          <w:rFonts w:ascii="楷体_GB2312" w:eastAsia="楷体_GB2312" w:hAnsi="宋体"/>
          <w:sz w:val="24"/>
          <w:szCs w:val="24"/>
        </w:rPr>
      </w:pPr>
      <w:r w:rsidRPr="00892B1D">
        <w:rPr>
          <w:rFonts w:ascii="楷体_GB2312" w:eastAsia="楷体_GB2312" w:hAnsi="宋体" w:hint="eastAsia"/>
          <w:sz w:val="24"/>
          <w:szCs w:val="24"/>
        </w:rPr>
        <w:t>注解：</w:t>
      </w:r>
    </w:p>
    <w:p w:rsidR="005F167B" w:rsidRPr="00892B1D" w:rsidRDefault="005F167B" w:rsidP="00BB2377">
      <w:pPr>
        <w:snapToGrid w:val="0"/>
        <w:spacing w:line="360" w:lineRule="auto"/>
        <w:ind w:firstLineChars="200" w:firstLine="480"/>
        <w:jc w:val="left"/>
        <w:rPr>
          <w:rFonts w:ascii="楷体_GB2312" w:eastAsia="楷体_GB2312" w:hAnsi="宋体"/>
          <w:sz w:val="24"/>
          <w:szCs w:val="24"/>
        </w:rPr>
      </w:pPr>
      <w:r w:rsidRPr="00892B1D">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94095" w:rsidRPr="00892B1D" w:rsidRDefault="005F167B" w:rsidP="00BB2377">
      <w:pPr>
        <w:spacing w:line="360" w:lineRule="auto"/>
        <w:ind w:firstLineChars="200" w:firstLine="480"/>
        <w:rPr>
          <w:rFonts w:ascii="楷体_GB2312" w:eastAsia="楷体_GB2312" w:hAnsi="Times New Roman"/>
          <w:sz w:val="28"/>
          <w:szCs w:val="28"/>
        </w:rPr>
      </w:pPr>
      <w:r w:rsidRPr="00892B1D">
        <w:rPr>
          <w:rFonts w:ascii="楷体_GB2312" w:eastAsia="楷体_GB2312" w:hAnsi="宋体" w:hint="eastAsia"/>
          <w:sz w:val="24"/>
          <w:szCs w:val="24"/>
        </w:rPr>
        <w:t>2、申报方申请简易案件的理由是基于第4项、第5项时，无须在备注中说明相关市场和市场份额。</w:t>
      </w:r>
      <w:r w:rsidRPr="00892B1D">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F87C1F" w:rsidRPr="00892B1D" w:rsidRDefault="00F87C1F"/>
    <w:sectPr w:rsidR="00F87C1F" w:rsidRPr="00892B1D"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7611" w:rsidRDefault="00107611" w:rsidP="00094095">
      <w:r>
        <w:separator/>
      </w:r>
    </w:p>
  </w:endnote>
  <w:endnote w:type="continuationSeparator" w:id="0">
    <w:p w:rsidR="00107611" w:rsidRDefault="00107611"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7611" w:rsidRDefault="00107611" w:rsidP="00094095">
      <w:r>
        <w:separator/>
      </w:r>
    </w:p>
  </w:footnote>
  <w:footnote w:type="continuationSeparator" w:id="0">
    <w:p w:rsidR="00107611" w:rsidRDefault="00107611"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A23F68"/>
    <w:multiLevelType w:val="hybridMultilevel"/>
    <w:tmpl w:val="75EAF49E"/>
    <w:lvl w:ilvl="0" w:tplc="A5229968">
      <w:start w:val="1"/>
      <w:numFmt w:val="decimal"/>
      <w:lvlText w:val="%1."/>
      <w:lvlJc w:val="left"/>
      <w:pPr>
        <w:ind w:left="420" w:hanging="420"/>
      </w:pPr>
    </w:lvl>
    <w:lvl w:ilvl="1" w:tplc="963C2900" w:tentative="1">
      <w:start w:val="1"/>
      <w:numFmt w:val="lowerLetter"/>
      <w:lvlText w:val="%2)"/>
      <w:lvlJc w:val="left"/>
      <w:pPr>
        <w:ind w:left="840" w:hanging="420"/>
      </w:pPr>
    </w:lvl>
    <w:lvl w:ilvl="2" w:tplc="66C8920C" w:tentative="1">
      <w:start w:val="1"/>
      <w:numFmt w:val="lowerRoman"/>
      <w:lvlText w:val="%3."/>
      <w:lvlJc w:val="right"/>
      <w:pPr>
        <w:ind w:left="1260" w:hanging="420"/>
      </w:pPr>
    </w:lvl>
    <w:lvl w:ilvl="3" w:tplc="3AB0D886" w:tentative="1">
      <w:start w:val="1"/>
      <w:numFmt w:val="decimal"/>
      <w:lvlText w:val="%4."/>
      <w:lvlJc w:val="left"/>
      <w:pPr>
        <w:ind w:left="1680" w:hanging="420"/>
      </w:pPr>
    </w:lvl>
    <w:lvl w:ilvl="4" w:tplc="1D86FD8E" w:tentative="1">
      <w:start w:val="1"/>
      <w:numFmt w:val="lowerLetter"/>
      <w:lvlText w:val="%5)"/>
      <w:lvlJc w:val="left"/>
      <w:pPr>
        <w:ind w:left="2100" w:hanging="420"/>
      </w:pPr>
    </w:lvl>
    <w:lvl w:ilvl="5" w:tplc="CF4068F6" w:tentative="1">
      <w:start w:val="1"/>
      <w:numFmt w:val="lowerRoman"/>
      <w:lvlText w:val="%6."/>
      <w:lvlJc w:val="right"/>
      <w:pPr>
        <w:ind w:left="2520" w:hanging="420"/>
      </w:pPr>
    </w:lvl>
    <w:lvl w:ilvl="6" w:tplc="34C02EA6" w:tentative="1">
      <w:start w:val="1"/>
      <w:numFmt w:val="decimal"/>
      <w:lvlText w:val="%7."/>
      <w:lvlJc w:val="left"/>
      <w:pPr>
        <w:ind w:left="2940" w:hanging="420"/>
      </w:pPr>
    </w:lvl>
    <w:lvl w:ilvl="7" w:tplc="E2B6E0CE" w:tentative="1">
      <w:start w:val="1"/>
      <w:numFmt w:val="lowerLetter"/>
      <w:lvlText w:val="%8)"/>
      <w:lvlJc w:val="left"/>
      <w:pPr>
        <w:ind w:left="3360" w:hanging="420"/>
      </w:pPr>
    </w:lvl>
    <w:lvl w:ilvl="8" w:tplc="C8CE3B74"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62883"/>
    <w:rsid w:val="00094095"/>
    <w:rsid w:val="00107611"/>
    <w:rsid w:val="00115906"/>
    <w:rsid w:val="001B075F"/>
    <w:rsid w:val="001B1388"/>
    <w:rsid w:val="001C2D08"/>
    <w:rsid w:val="00202C4C"/>
    <w:rsid w:val="00205F56"/>
    <w:rsid w:val="00220363"/>
    <w:rsid w:val="00245776"/>
    <w:rsid w:val="00256294"/>
    <w:rsid w:val="002F2D60"/>
    <w:rsid w:val="00307976"/>
    <w:rsid w:val="003B6758"/>
    <w:rsid w:val="00462174"/>
    <w:rsid w:val="00481909"/>
    <w:rsid w:val="005F167B"/>
    <w:rsid w:val="00624566"/>
    <w:rsid w:val="0069122A"/>
    <w:rsid w:val="006B512F"/>
    <w:rsid w:val="006B793F"/>
    <w:rsid w:val="006D5B2D"/>
    <w:rsid w:val="006E2EF4"/>
    <w:rsid w:val="00811D83"/>
    <w:rsid w:val="008355D3"/>
    <w:rsid w:val="00840BC1"/>
    <w:rsid w:val="00892B1D"/>
    <w:rsid w:val="008E7B8C"/>
    <w:rsid w:val="00907222"/>
    <w:rsid w:val="009C40B1"/>
    <w:rsid w:val="00A063D3"/>
    <w:rsid w:val="00A35DDA"/>
    <w:rsid w:val="00B31992"/>
    <w:rsid w:val="00BA0750"/>
    <w:rsid w:val="00BA1596"/>
    <w:rsid w:val="00BB2377"/>
    <w:rsid w:val="00BE3C8B"/>
    <w:rsid w:val="00C9068E"/>
    <w:rsid w:val="00CA0DA6"/>
    <w:rsid w:val="00CD4616"/>
    <w:rsid w:val="00D21777"/>
    <w:rsid w:val="00D76301"/>
    <w:rsid w:val="00DF1F37"/>
    <w:rsid w:val="00E610AD"/>
    <w:rsid w:val="00E71CDA"/>
    <w:rsid w:val="00E74445"/>
    <w:rsid w:val="00ED0F32"/>
    <w:rsid w:val="00ED21B1"/>
    <w:rsid w:val="00F67F9E"/>
    <w:rsid w:val="00F87C1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187FFF-CB92-43CE-A98B-E85B36AF3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94095"/>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FooterChar">
    <w:name w:val="Footer Char"/>
    <w:link w:val="Footer"/>
    <w:uiPriority w:val="99"/>
    <w:rsid w:val="00D21777"/>
    <w:rPr>
      <w:sz w:val="18"/>
      <w:szCs w:val="18"/>
    </w:rPr>
  </w:style>
  <w:style w:type="paragraph" w:styleId="BalloonText">
    <w:name w:val="Balloon Text"/>
    <w:basedOn w:val="Normal"/>
    <w:link w:val="BalloonTextChar"/>
    <w:uiPriority w:val="99"/>
    <w:semiHidden/>
    <w:unhideWhenUsed/>
    <w:rsid w:val="00840BC1"/>
    <w:rPr>
      <w:rFonts w:ascii="Tahoma" w:hAnsi="Tahoma" w:cs="Tahoma"/>
      <w:sz w:val="16"/>
      <w:szCs w:val="16"/>
    </w:rPr>
  </w:style>
  <w:style w:type="character" w:customStyle="1" w:styleId="BalloonTextChar">
    <w:name w:val="Balloon Text Char"/>
    <w:link w:val="BalloonText"/>
    <w:uiPriority w:val="99"/>
    <w:semiHidden/>
    <w:rsid w:val="00840BC1"/>
    <w:rPr>
      <w:rFonts w:ascii="Tahoma" w:hAnsi="Tahoma" w:cs="Tahoma"/>
      <w:kern w:val="2"/>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6AB4B-8AE7-4A52-8DA6-069ECF2D9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DaHui Lawyers</dc:creator>
  <cp:keywords/>
  <dc:description/>
  <cp:lastModifiedBy>DaHui Lawyers</cp:lastModifiedBy>
  <cp:revision>6</cp:revision>
  <cp:lastPrinted>2019-10-11T12:57:00Z</cp:lastPrinted>
  <dcterms:created xsi:type="dcterms:W3CDTF">2019-10-22T09:32:00Z</dcterms:created>
  <dcterms:modified xsi:type="dcterms:W3CDTF">2019-10-27T07:10:00Z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0030390</vt:lpwstr>
  </property>
  <property fmtid="{D5CDD505-2E9C-101B-9397-08002B2CF9AE}" pid="3" name="cpClientMatter">
    <vt:lpwstr>0030390-0000078</vt:lpwstr>
  </property>
  <property fmtid="{D5CDD505-2E9C-101B-9397-08002B2CF9AE}" pid="4" name="cpCombinedRef">
    <vt:lpwstr>0030390-0000078 BJ:4102513.2</vt:lpwstr>
  </property>
  <property fmtid="{D5CDD505-2E9C-101B-9397-08002B2CF9AE}" pid="5" name="cpDocRef">
    <vt:lpwstr>BJ:4102513.2</vt:lpwstr>
  </property>
  <property fmtid="{D5CDD505-2E9C-101B-9397-08002B2CF9AE}" pid="6" name="Matter">
    <vt:lpwstr>0000078</vt:lpwstr>
  </property>
</Properties>
</file>