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after="0" w:line="440" w:lineRule="exact"/>
        <w:jc w:val="center"/>
        <w:rPr>
          <w:rFonts w:ascii="Times New Roman" w:hAnsi="Times New Roman" w:eastAsia="华文楷体" w:cs="Times New Roman"/>
          <w:b/>
          <w:kern w:val="2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华文楷体" w:cs="Times New Roman"/>
          <w:b/>
          <w:kern w:val="2"/>
          <w:sz w:val="24"/>
          <w:szCs w:val="24"/>
        </w:rPr>
        <w:t>经营者集中简易案件公示表</w:t>
      </w:r>
    </w:p>
    <w:p>
      <w:pPr>
        <w:widowControl w:val="0"/>
        <w:spacing w:after="0" w:line="440" w:lineRule="exact"/>
        <w:ind w:firstLine="724" w:firstLineChars="302"/>
        <w:jc w:val="both"/>
        <w:rPr>
          <w:rFonts w:ascii="Times New Roman" w:hAnsi="Times New Roman" w:eastAsia="华文楷体" w:cs="Times New Roman"/>
          <w:kern w:val="2"/>
          <w:sz w:val="24"/>
          <w:szCs w:val="24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hint="eastAsia" w:eastAsia="华文楷体"/>
                <w:sz w:val="24"/>
                <w:szCs w:val="24"/>
              </w:rPr>
              <w:t>大众汽车</w:t>
            </w:r>
            <w:r>
              <w:rPr>
                <w:rFonts w:eastAsia="华文楷体"/>
                <w:sz w:val="24"/>
                <w:szCs w:val="24"/>
              </w:rPr>
              <w:t>收购</w:t>
            </w:r>
            <w:r>
              <w:rPr>
                <w:rFonts w:ascii="Times New Roman" w:hAnsi="Times New Roman" w:eastAsia="华文楷体" w:cs="Times New Roman"/>
                <w:sz w:val="24"/>
                <w:szCs w:val="24"/>
              </w:rPr>
              <w:t>Argo AI LLC</w:t>
            </w:r>
            <w:r>
              <w:rPr>
                <w:rFonts w:eastAsia="华文楷体"/>
                <w:sz w:val="24"/>
                <w:szCs w:val="24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hAnsi="Times New Roman" w:eastAsia="华文楷体" w:cs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 w:cs="Times New Roman"/>
                <w:bCs/>
                <w:sz w:val="24"/>
                <w:szCs w:val="24"/>
              </w:rPr>
              <w:t>大众汽车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华文楷体" w:cs="Times New Roman"/>
                <w:b/>
                <w:i/>
                <w:sz w:val="24"/>
                <w:szCs w:val="24"/>
              </w:rPr>
              <w:t>大众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>）和福特汽车（</w:t>
            </w:r>
            <w:r>
              <w:rPr>
                <w:rFonts w:hint="eastAsia" w:ascii="Times New Roman" w:hAnsi="Times New Roman" w:eastAsia="华文楷体" w:cs="Times New Roman"/>
                <w:b/>
                <w:i/>
                <w:sz w:val="24"/>
                <w:szCs w:val="24"/>
              </w:rPr>
              <w:t>福特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>）拟进行的交易包括：大众某关联公司对福特关联公司</w:t>
            </w:r>
            <w:r>
              <w:rPr>
                <w:rFonts w:ascii="Times New Roman" w:hAnsi="Times New Roman" w:eastAsia="华文楷体" w:cs="Times New Roman"/>
                <w:sz w:val="24"/>
                <w:szCs w:val="24"/>
              </w:rPr>
              <w:t xml:space="preserve">Argo AI LLC 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eastAsia="华文楷体" w:cs="Times New Roman"/>
                <w:b/>
                <w:i/>
                <w:sz w:val="24"/>
                <w:szCs w:val="24"/>
              </w:rPr>
              <w:t>Argo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>）进行投资，该投资包括将大众间接全资所有子公司</w:t>
            </w:r>
            <w:r>
              <w:rPr>
                <w:rFonts w:ascii="Times New Roman" w:hAnsi="Times New Roman" w:eastAsia="华文楷体" w:cs="Times New Roman"/>
                <w:sz w:val="24"/>
                <w:szCs w:val="24"/>
                <w:lang w:val="en-GB"/>
              </w:rPr>
              <w:t>Autonomous Intelligent Driving GmbH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  <w:lang w:val="en-GB"/>
              </w:rPr>
              <w:t>（</w:t>
            </w:r>
            <w:r>
              <w:rPr>
                <w:rFonts w:ascii="Times New Roman" w:hAnsi="Times New Roman" w:eastAsia="华文楷体" w:cs="Times New Roman"/>
                <w:b/>
                <w:i/>
                <w:sz w:val="24"/>
                <w:szCs w:val="24"/>
                <w:lang w:val="en-GB"/>
              </w:rPr>
              <w:t>AID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>）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  <w:lang w:val="en-GB"/>
              </w:rPr>
              <w:t>并入</w:t>
            </w:r>
            <w:r>
              <w:rPr>
                <w:rFonts w:ascii="Times New Roman" w:hAnsi="Times New Roman" w:eastAsia="华文楷体" w:cs="Times New Roman"/>
                <w:sz w:val="24"/>
                <w:szCs w:val="24"/>
                <w:lang w:val="en-GB"/>
              </w:rPr>
              <w:t>Argo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  <w:lang w:val="en-GB"/>
              </w:rPr>
              <w:t>以及直接向福特某关联企业购买部分</w:t>
            </w:r>
            <w:r>
              <w:rPr>
                <w:rFonts w:ascii="Times New Roman" w:hAnsi="Times New Roman" w:eastAsia="华文楷体" w:cs="Times New Roman"/>
                <w:sz w:val="24"/>
                <w:szCs w:val="24"/>
                <w:lang w:val="en-GB"/>
              </w:rPr>
              <w:t>Argo</w:t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  <w:lang w:val="en-GB"/>
              </w:rPr>
              <w:t>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widowControl w:val="0"/>
              <w:spacing w:after="0" w:line="500" w:lineRule="exact"/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widowControl w:val="0"/>
              <w:adjustRightInd w:val="0"/>
              <w:snapToGrid w:val="0"/>
              <w:spacing w:after="120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 w:cs="Times New Roman"/>
                <w:kern w:val="2"/>
                <w:sz w:val="24"/>
                <w:szCs w:val="24"/>
              </w:rPr>
              <w:t>大众</w:t>
            </w:r>
          </w:p>
        </w:tc>
        <w:tc>
          <w:tcPr>
            <w:tcW w:w="5153" w:type="dxa"/>
          </w:tcPr>
          <w:p>
            <w:pPr>
              <w:adjustRightInd w:val="0"/>
              <w:snapToGrid w:val="0"/>
              <w:spacing w:after="120"/>
              <w:jc w:val="both"/>
              <w:rPr>
                <w:rFonts w:ascii="Times New Roman" w:hAnsi="Times New Roman" w:eastAsia="华文楷体" w:cs="Times New Roman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="华文楷体" w:cs="Times New Roman"/>
                <w:kern w:val="2"/>
                <w:sz w:val="24"/>
                <w:szCs w:val="24"/>
              </w:rPr>
              <w:t>大众是一家总部位于沃尔夫斯堡的上市公司。其是大众集团的母公司，大众集团致力于开发、制造、推广和销售各类车辆及相关部件。大众也开发并推广移动出行服务解决方案并提供金融服务。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widowControl w:val="0"/>
              <w:adjustRightInd w:val="0"/>
              <w:snapToGrid w:val="0"/>
              <w:spacing w:after="120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 w:cs="Times New Roman"/>
                <w:bCs/>
                <w:sz w:val="24"/>
                <w:szCs w:val="24"/>
              </w:rPr>
              <w:t>福特</w:t>
            </w:r>
          </w:p>
        </w:tc>
        <w:tc>
          <w:tcPr>
            <w:tcW w:w="5153" w:type="dxa"/>
          </w:tcPr>
          <w:p>
            <w:pPr>
              <w:adjustRightInd w:val="0"/>
              <w:snapToGrid w:val="0"/>
              <w:spacing w:after="120"/>
              <w:jc w:val="both"/>
              <w:rPr>
                <w:rFonts w:ascii="Times New Roman" w:hAnsi="Times New Roman" w:eastAsia="华文楷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>福特是位于密歇根州迪尔伯恩的全球性公司。其是福特公司集团的最终控制人。福特公司集团致力于设计、制造、推广和服务全系福特和林肯汽车并提供金融服务。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eastAsia="黑体"/>
                <w:szCs w:val="21"/>
              </w:rPr>
              <w:sym w:font="Wingdings" w:char="F0FE"/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eastAsia="黑体"/>
                <w:szCs w:val="21"/>
              </w:rPr>
              <w:sym w:font="Wingdings" w:char="F0FE"/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sz w:val="24"/>
                <w:szCs w:val="24"/>
              </w:rPr>
              <w:sym w:font="Wingdings" w:char="F0A8"/>
            </w:r>
            <w:r>
              <w:rPr>
                <w:rFonts w:hint="eastAsia" w:ascii="Times New Roman" w:hAnsi="Times New Roman" w:eastAsia="华文楷体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</w:pPr>
            <w:r>
              <w:rPr>
                <w:rFonts w:ascii="Times New Roman" w:hAnsi="Times New Roman" w:eastAsia="华文楷体" w:cs="Times New Roman"/>
                <w:b/>
                <w:kern w:val="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 w:cs="Times New Roman"/>
                <w:kern w:val="2"/>
                <w:sz w:val="24"/>
                <w:szCs w:val="24"/>
              </w:rPr>
              <w:t>1、相关市场：SAE第4等级虚拟驾驶系统（</w:t>
            </w:r>
            <w:r>
              <w:rPr>
                <w:rFonts w:ascii="Times New Roman" w:hAnsi="Times New Roman" w:eastAsia="华文楷体" w:cs="Times New Roman"/>
                <w:b/>
                <w:i/>
                <w:kern w:val="2"/>
                <w:sz w:val="24"/>
                <w:szCs w:val="24"/>
              </w:rPr>
              <w:t>VDS</w:t>
            </w:r>
            <w:r>
              <w:rPr>
                <w:rFonts w:hint="eastAsia" w:ascii="Times New Roman" w:hAnsi="Times New Roman" w:eastAsia="华文楷体" w:cs="Times New Roman"/>
                <w:kern w:val="2"/>
                <w:sz w:val="24"/>
                <w:szCs w:val="24"/>
              </w:rPr>
              <w:t>）技术开发市场</w:t>
            </w:r>
          </w:p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 w:cs="Times New Roman"/>
                <w:kern w:val="2"/>
                <w:sz w:val="24"/>
                <w:szCs w:val="24"/>
              </w:rPr>
              <w:t>市场份额：Argo、AID总计[0-5]%</w:t>
            </w:r>
          </w:p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 w:cs="Times New Roman"/>
                <w:kern w:val="2"/>
                <w:sz w:val="24"/>
                <w:szCs w:val="24"/>
              </w:rPr>
              <w:t>2、相关市场：具有SAE第4等级功能的全自动车辆市场（中国）</w:t>
            </w:r>
          </w:p>
          <w:p>
            <w:pPr>
              <w:widowControl w:val="0"/>
              <w:spacing w:after="0" w:line="500" w:lineRule="exact"/>
              <w:jc w:val="both"/>
              <w:rPr>
                <w:rFonts w:ascii="Times New Roman" w:hAnsi="Times New Roman" w:eastAsia="华文楷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华文楷体" w:cs="Times New Roman"/>
                <w:kern w:val="2"/>
                <w:sz w:val="24"/>
                <w:szCs w:val="24"/>
              </w:rPr>
              <w:t>市场份额：大众汽车、福特汽车总计[0-5]%</w:t>
            </w:r>
          </w:p>
        </w:tc>
      </w:tr>
    </w:tbl>
    <w:p>
      <w:pPr>
        <w:widowControl w:val="0"/>
        <w:spacing w:after="0" w:line="240" w:lineRule="auto"/>
        <w:jc w:val="both"/>
        <w:rPr>
          <w:rFonts w:ascii="Times New Roman" w:hAnsi="Times New Roman" w:eastAsia="华文楷体" w:cs="Times New Roman"/>
          <w:kern w:val="2"/>
          <w:sz w:val="24"/>
          <w:szCs w:val="24"/>
        </w:rPr>
      </w:pPr>
    </w:p>
    <w:p>
      <w:pPr>
        <w:widowControl w:val="0"/>
        <w:spacing w:after="0" w:line="240" w:lineRule="auto"/>
        <w:jc w:val="both"/>
        <w:rPr>
          <w:rFonts w:ascii="Times New Roman" w:hAnsi="Times New Roman" w:eastAsia="华文楷体" w:cs="Times New Roman"/>
          <w:kern w:val="2"/>
          <w:sz w:val="24"/>
          <w:szCs w:val="24"/>
        </w:rPr>
      </w:pPr>
    </w:p>
    <w:p>
      <w:pPr>
        <w:rPr>
          <w:rFonts w:ascii="Times New Roman" w:hAnsi="Times New Roman" w:eastAsia="华文楷体" w:cs="Times New Roman"/>
          <w:sz w:val="24"/>
          <w:szCs w:val="24"/>
        </w:rPr>
      </w:pPr>
    </w:p>
    <w:p/>
    <w:sectPr>
      <w:footerReference r:id="rId4" w:type="first"/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20" w:lineRule="exact"/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>
                            <w:t>HKG3834522</w:t>
                          </w:r>
                          <w:r>
                            <w:fldChar w:fldCharType="end"/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>
                            <w:instrText xml:space="preserve"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>
                            <w:instrText xml:space="preserve">1</w:instrText>
                          </w:r>
                          <w:r>
                            <w:fldChar w:fldCharType="end"/>
                          </w:r>
                          <w:r>
                            <w:instrText xml:space="preserve">"</w:instrText>
                          </w:r>
                          <w:r>
                            <w:fldChar w:fldCharType="separate"/>
                          </w:r>
                          <w:r>
                            <w:t>/1</w:t>
                          </w:r>
                          <w:r>
                            <w:fldChar w:fldCharType="end"/>
                          </w:r>
                          <w: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>
                            <w:instrText xml:space="preserve"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>
                            <w:instrText xml:space="preserve">167100-0004</w:instrText>
                          </w:r>
                          <w:r>
                            <w:fldChar w:fldCharType="end"/>
                          </w:r>
                          <w:r>
                            <w:instrText xml:space="preserve">  </w:instrText>
                          </w:r>
                          <w:r>
                            <w:fldChar w:fldCharType="separate"/>
                          </w:r>
                          <w:r>
                            <w:t>167100-0004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pStyle w:val="8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0pt;margin-top:-9.95pt;height:20.15pt;width:201.6pt;mso-position-horizontal-relative:margin;z-index:-251657216;mso-width-relative:page;mso-height-relative:page;" filled="f" stroked="f" coordsize="21600,21600" o:gfxdata="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4L683XAAAABwEAAA8A&#10;AAAAAAAAAQAgAAAAIgAAAGRycy9kb3ducmV2LnhtbFBLAQIUABQAAAAIAIdO4kB7ZT/M3wEAALYD&#10;AAAOAAAAAAAAAAEAIAAAACY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>
                      <w:t>HKG3834522</w:t>
                    </w:r>
                    <w:r>
                      <w:fldChar w:fldCharType="end"/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>
                      <w:instrText xml:space="preserve">true</w:instrText>
                    </w:r>
                    <w:r>
                      <w:fldChar w:fldCharType="end"/>
                    </w:r>
                    <w:r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>
                      <w:instrText xml:space="preserve">1</w:instrText>
                    </w:r>
                    <w:r>
                      <w:fldChar w:fldCharType="end"/>
                    </w:r>
                    <w:r>
                      <w:instrText xml:space="preserve">"</w:instrText>
                    </w:r>
                    <w:r>
                      <w:fldChar w:fldCharType="separate"/>
                    </w:r>
                    <w:r>
                      <w:t>/1</w:t>
                    </w:r>
                    <w:r>
                      <w:fldChar w:fldCharType="end"/>
                    </w:r>
                    <w: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>
                      <w:instrText xml:space="preserve">true</w:instrText>
                    </w:r>
                    <w:r>
                      <w:fldChar w:fldCharType="end"/>
                    </w:r>
                    <w:r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>
                      <w:instrText xml:space="preserve">167100-0004</w:instrText>
                    </w:r>
                    <w:r>
                      <w:fldChar w:fldCharType="end"/>
                    </w:r>
                    <w:r>
                      <w:instrText xml:space="preserve">  </w:instrText>
                    </w:r>
                    <w:r>
                      <w:fldChar w:fldCharType="separate"/>
                    </w:r>
                    <w:r>
                      <w:t>167100-0004</w:t>
                    </w:r>
                    <w:r>
                      <w:fldChar w:fldCharType="end"/>
                    </w:r>
                  </w:p>
                  <w:p>
                    <w:pPr>
                      <w:pStyle w:val="8"/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1A0"/>
    <w:rsid w:val="0000283A"/>
    <w:rsid w:val="00006BDE"/>
    <w:rsid w:val="00046F76"/>
    <w:rsid w:val="00097DBD"/>
    <w:rsid w:val="00117E32"/>
    <w:rsid w:val="00130AE9"/>
    <w:rsid w:val="00154AA6"/>
    <w:rsid w:val="00155504"/>
    <w:rsid w:val="00171ABE"/>
    <w:rsid w:val="001725FB"/>
    <w:rsid w:val="00177FFC"/>
    <w:rsid w:val="001959A0"/>
    <w:rsid w:val="001F3005"/>
    <w:rsid w:val="001F6012"/>
    <w:rsid w:val="0028299F"/>
    <w:rsid w:val="00321BE4"/>
    <w:rsid w:val="00327520"/>
    <w:rsid w:val="00363D3E"/>
    <w:rsid w:val="003A30FD"/>
    <w:rsid w:val="003B6755"/>
    <w:rsid w:val="003F4A21"/>
    <w:rsid w:val="00435434"/>
    <w:rsid w:val="004A65E0"/>
    <w:rsid w:val="004D2071"/>
    <w:rsid w:val="004E7A53"/>
    <w:rsid w:val="00530E08"/>
    <w:rsid w:val="00534EF3"/>
    <w:rsid w:val="005445E9"/>
    <w:rsid w:val="00563B2A"/>
    <w:rsid w:val="005A0DB8"/>
    <w:rsid w:val="005A16CA"/>
    <w:rsid w:val="005B2DE1"/>
    <w:rsid w:val="00626CE9"/>
    <w:rsid w:val="00635247"/>
    <w:rsid w:val="00663DB0"/>
    <w:rsid w:val="00665F32"/>
    <w:rsid w:val="00683B71"/>
    <w:rsid w:val="006875E1"/>
    <w:rsid w:val="006D0611"/>
    <w:rsid w:val="006F768B"/>
    <w:rsid w:val="00725190"/>
    <w:rsid w:val="00760A19"/>
    <w:rsid w:val="007628CD"/>
    <w:rsid w:val="00774882"/>
    <w:rsid w:val="00777256"/>
    <w:rsid w:val="007919B6"/>
    <w:rsid w:val="0079671D"/>
    <w:rsid w:val="007A5BB8"/>
    <w:rsid w:val="007B0F6A"/>
    <w:rsid w:val="008062FB"/>
    <w:rsid w:val="00827F26"/>
    <w:rsid w:val="0088378F"/>
    <w:rsid w:val="008B49B7"/>
    <w:rsid w:val="0090238E"/>
    <w:rsid w:val="009961A0"/>
    <w:rsid w:val="00A30B9F"/>
    <w:rsid w:val="00A61A0D"/>
    <w:rsid w:val="00A64BE3"/>
    <w:rsid w:val="00AA3EE1"/>
    <w:rsid w:val="00AD56DC"/>
    <w:rsid w:val="00AF3FB5"/>
    <w:rsid w:val="00B121E3"/>
    <w:rsid w:val="00B51B63"/>
    <w:rsid w:val="00B764CE"/>
    <w:rsid w:val="00B84B41"/>
    <w:rsid w:val="00BE3851"/>
    <w:rsid w:val="00BE47A5"/>
    <w:rsid w:val="00C14B59"/>
    <w:rsid w:val="00C356E4"/>
    <w:rsid w:val="00CA573E"/>
    <w:rsid w:val="00CA7474"/>
    <w:rsid w:val="00CD16F4"/>
    <w:rsid w:val="00CF3A94"/>
    <w:rsid w:val="00D2555E"/>
    <w:rsid w:val="00D91C98"/>
    <w:rsid w:val="00E236D9"/>
    <w:rsid w:val="00EC15FD"/>
    <w:rsid w:val="00EE19A6"/>
    <w:rsid w:val="00F075F6"/>
    <w:rsid w:val="00F17054"/>
    <w:rsid w:val="00F23390"/>
    <w:rsid w:val="00F46508"/>
    <w:rsid w:val="00F82E2D"/>
    <w:rsid w:val="00FA22D1"/>
    <w:rsid w:val="00FD6535"/>
    <w:rsid w:val="00FE5B71"/>
    <w:rsid w:val="47904D59"/>
    <w:rsid w:val="55E0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Footer Char"/>
    <w:basedOn w:val="5"/>
    <w:link w:val="3"/>
    <w:uiPriority w:val="99"/>
  </w:style>
  <w:style w:type="paragraph" w:customStyle="1" w:styleId="8">
    <w:name w:val="MacPac Trailer"/>
    <w:uiPriority w:val="0"/>
    <w:pPr>
      <w:widowControl w:val="0"/>
      <w:spacing w:after="0" w:line="170" w:lineRule="exact"/>
    </w:pPr>
    <w:rPr>
      <w:rFonts w:ascii="Times New Roman" w:hAnsi="Times New Roman" w:eastAsia="Times New Roman" w:cs="Times New Roman"/>
      <w:sz w:val="14"/>
      <w:szCs w:val="22"/>
      <w:lang w:val="en-US" w:eastAsia="en-US" w:bidi="ar-SA"/>
    </w:rPr>
  </w:style>
  <w:style w:type="character" w:customStyle="1" w:styleId="9">
    <w:name w:val="Header Char"/>
    <w:basedOn w:val="5"/>
    <w:link w:val="4"/>
    <w:qFormat/>
    <w:uiPriority w:val="99"/>
  </w:style>
  <w:style w:type="character" w:customStyle="1" w:styleId="10">
    <w:name w:val="Balloon Text Char"/>
    <w:basedOn w:val="5"/>
    <w:link w:val="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Freshfields Bruckhaus Deringer</Company>
  <Pages>2</Pages>
  <Words>119</Words>
  <Characters>681</Characters>
  <Lines>5</Lines>
  <Paragraphs>1</Paragraphs>
  <TotalTime>27</TotalTime>
  <ScaleCrop>false</ScaleCrop>
  <LinksUpToDate>false</LinksUpToDate>
  <CharactersWithSpaces>799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2019-10-31T13:48:00Z</dcterms:created>
  <dc:creator>LAI, Xiaopeng</dc:creator>
  <cp:lastModifiedBy>qinghua</cp:lastModifiedBy>
  <dcterms:modified xsi:type="dcterms:W3CDTF">2019-12-26T07:32:36Z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