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19F" w:rsidRDefault="007A23DE">
      <w:pPr>
        <w:spacing w:line="440" w:lineRule="exact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经营者集中简易案件公示表</w:t>
      </w:r>
    </w:p>
    <w:p w:rsidR="002F519F" w:rsidRDefault="002F519F">
      <w:pPr>
        <w:spacing w:line="440" w:lineRule="exact"/>
        <w:ind w:firstLineChars="302" w:firstLine="846"/>
        <w:rPr>
          <w:rFonts w:ascii="仿宋_GB2312" w:eastAsia="仿宋_GB2312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F519F">
        <w:tc>
          <w:tcPr>
            <w:tcW w:w="1809" w:type="dxa"/>
            <w:shd w:val="clear" w:color="auto" w:fill="D9D9D9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沙特阿美发展公司与韩国造船海洋株式会社新设合营企业案</w:t>
            </w:r>
          </w:p>
        </w:tc>
      </w:tr>
      <w:tr w:rsidR="002F519F">
        <w:trPr>
          <w:trHeight w:val="993"/>
        </w:trPr>
        <w:tc>
          <w:tcPr>
            <w:tcW w:w="1809" w:type="dxa"/>
            <w:shd w:val="clear" w:color="auto" w:fill="D9D9D9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本次交易系沙特阿美发展公司</w:t>
            </w:r>
            <w:r>
              <w:rPr>
                <w:rFonts w:ascii="仿宋_GB2312" w:eastAsia="仿宋_GB2312"/>
                <w:sz w:val="28"/>
                <w:szCs w:val="28"/>
              </w:rPr>
              <w:t>(</w:t>
            </w:r>
            <w:r>
              <w:rPr>
                <w:rFonts w:ascii="仿宋_GB2312" w:eastAsia="仿宋_GB2312" w:hint="eastAsia"/>
                <w:sz w:val="28"/>
                <w:szCs w:val="28"/>
              </w:rPr>
              <w:t>下称</w:t>
            </w:r>
            <w:r>
              <w:rPr>
                <w:rFonts w:ascii="仿宋_GB2312" w:eastAsia="仿宋_GB2312"/>
                <w:sz w:val="28"/>
                <w:szCs w:val="28"/>
              </w:rPr>
              <w:t>“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沙特阿美发展</w:t>
            </w:r>
            <w:r>
              <w:rPr>
                <w:rFonts w:ascii="仿宋_GB2312" w:eastAsia="仿宋_GB2312"/>
                <w:sz w:val="28"/>
                <w:szCs w:val="28"/>
              </w:rPr>
              <w:t>”</w:t>
            </w:r>
            <w:r>
              <w:rPr>
                <w:rFonts w:ascii="仿宋_GB2312" w:eastAsia="仿宋_GB2312"/>
                <w:sz w:val="28"/>
                <w:szCs w:val="28"/>
              </w:rPr>
              <w:t>)</w:t>
            </w:r>
            <w:r>
              <w:rPr>
                <w:rFonts w:ascii="仿宋_GB2312" w:eastAsia="仿宋_GB2312" w:hint="eastAsia"/>
                <w:sz w:val="28"/>
                <w:szCs w:val="28"/>
              </w:rPr>
              <w:t>、韩国造船海洋株式会社（下称“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韩国造船</w:t>
            </w:r>
            <w:r>
              <w:rPr>
                <w:rFonts w:ascii="仿宋_GB2312" w:eastAsia="仿宋_GB2312" w:hint="eastAsia"/>
                <w:sz w:val="28"/>
                <w:szCs w:val="28"/>
              </w:rPr>
              <w:t>”）和沙特阿拉伯工业投资公司（“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沙特工业投资</w:t>
            </w:r>
            <w:r>
              <w:rPr>
                <w:rFonts w:ascii="仿宋_GB2312" w:eastAsia="仿宋_GB2312" w:hint="eastAsia"/>
                <w:sz w:val="28"/>
                <w:szCs w:val="28"/>
              </w:rPr>
              <w:t>”）在沙特阿拉伯新设一家合营公司（下称“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合营公司</w:t>
            </w:r>
            <w:r>
              <w:rPr>
                <w:rFonts w:ascii="仿宋_GB2312" w:eastAsia="仿宋_GB2312" w:hint="eastAsia"/>
                <w:sz w:val="28"/>
                <w:szCs w:val="28"/>
              </w:rPr>
              <w:t>”</w:t>
            </w:r>
            <w:bookmarkStart w:id="0" w:name="_GoBack"/>
            <w:bookmarkEnd w:id="0"/>
            <w:r>
              <w:rPr>
                <w:rFonts w:ascii="仿宋_GB2312" w:eastAsia="仿宋_GB2312" w:hint="eastAsia"/>
                <w:sz w:val="28"/>
                <w:szCs w:val="28"/>
              </w:rPr>
              <w:t>）。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交易完成后，沙特阿美发展将持有合营公司的55%股权，韩国造船将持有30%股权，沙特工业投资将持有15%股权。</w:t>
            </w:r>
          </w:p>
        </w:tc>
      </w:tr>
      <w:tr w:rsidR="002F519F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1、沙特阿美发展</w:t>
            </w:r>
          </w:p>
        </w:tc>
        <w:tc>
          <w:tcPr>
            <w:tcW w:w="5153" w:type="dxa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沙特阿美发展系沙特阿拉伯国家石油公司的全资关联公司。沙特阿拉伯国家石油公司主要从事原油勘探、生产和营销，以及少量的炼化产品和石化产品生产和营销活动。</w:t>
            </w:r>
          </w:p>
        </w:tc>
      </w:tr>
      <w:tr w:rsidR="002F519F">
        <w:trPr>
          <w:trHeight w:val="654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2、韩国造船</w:t>
            </w:r>
          </w:p>
        </w:tc>
        <w:tc>
          <w:tcPr>
            <w:tcW w:w="5153" w:type="dxa"/>
          </w:tcPr>
          <w:p w:rsidR="002F519F" w:rsidRDefault="007A23DE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韩国造船及其旗下子公司的主要业务包括造船、海军舰艇、海上设施、发动机机械和其他业务。</w:t>
            </w:r>
          </w:p>
        </w:tc>
      </w:tr>
      <w:tr w:rsidR="002F519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 w:rsidR="002F519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2F519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2F519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Wingdings" w:eastAsia="仿宋" w:hAnsi="Wingdings"/>
                <w:sz w:val="28"/>
                <w:szCs w:val="28"/>
              </w:rPr>
              <w:sym w:font="Wingdings" w:char="F0FE"/>
            </w:r>
            <w:r>
              <w:rPr>
                <w:rFonts w:ascii="仿宋_GB2312" w:eastAsia="仿宋_GB2312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2F519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2F519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2F519F">
        <w:tc>
          <w:tcPr>
            <w:tcW w:w="1809" w:type="dxa"/>
            <w:shd w:val="clear" w:color="auto" w:fill="D9D9D9"/>
          </w:tcPr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F519F" w:rsidRDefault="007A23DE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相关商品市场：二冲程船舶发动机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相关地域市场：全球市场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市场份额：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2186"/>
              <w:gridCol w:w="2728"/>
            </w:tblGrid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2F519F">
                  <w:pPr>
                    <w:pStyle w:val="a3"/>
                    <w:spacing w:after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2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全球市场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中国市场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沙特阿美发展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韩国造船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Cs/>
                    </w:rPr>
                  </w:pPr>
                  <w:r>
                    <w:rPr>
                      <w:rFonts w:ascii="宋体" w:hAnsi="宋体" w:hint="eastAsia"/>
                      <w:bCs/>
                    </w:rPr>
                    <w:t>合计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</w:tr>
          </w:tbl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 w:rsidR="002F519F" w:rsidRDefault="007A23DE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相关商品市场：四冲程船舶发电机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相关地域市场：全球市场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市场份额：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2186"/>
              <w:gridCol w:w="2728"/>
            </w:tblGrid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2F519F">
                  <w:pPr>
                    <w:pStyle w:val="a3"/>
                    <w:spacing w:after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2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全球市场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中国市场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沙特阿美发展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韩国造船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Cs/>
                    </w:rPr>
                  </w:pPr>
                  <w:r>
                    <w:rPr>
                      <w:rFonts w:ascii="宋体" w:hAnsi="宋体" w:hint="eastAsia"/>
                      <w:bCs/>
                    </w:rPr>
                    <w:t>合计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0-15%</w:t>
                  </w:r>
                </w:p>
              </w:tc>
            </w:tr>
          </w:tbl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 w:rsidR="002F519F" w:rsidRDefault="007A23DE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相关商品市场：固定式发动机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相关地域市场：全球市场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市场份额：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2186"/>
              <w:gridCol w:w="2728"/>
            </w:tblGrid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2F519F">
                  <w:pPr>
                    <w:pStyle w:val="a3"/>
                    <w:spacing w:after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2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全球市场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中国市场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沙特阿美发展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韩国造船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0-5%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Cs/>
                    </w:rPr>
                  </w:pPr>
                  <w:r>
                    <w:rPr>
                      <w:rFonts w:ascii="宋体" w:hAnsi="宋体" w:hint="eastAsia"/>
                      <w:bCs/>
                    </w:rPr>
                    <w:t>合计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0-5%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</w:tr>
          </w:tbl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 w:rsidR="009C7A6D" w:rsidRDefault="009C7A6D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 w:rsidR="002F519F" w:rsidRDefault="007A23DE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相关商品市场：船用泵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相关地域市场：全球市场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市场份额：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2186"/>
              <w:gridCol w:w="2728"/>
            </w:tblGrid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2F519F">
                  <w:pPr>
                    <w:pStyle w:val="a3"/>
                    <w:spacing w:after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2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全球市场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中国市场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沙特阿美发展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韩国造船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pBdr>
                      <w:bottom w:val="single" w:sz="6" w:space="1" w:color="auto"/>
                    </w:pBdr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Cs/>
                    </w:rPr>
                  </w:pPr>
                  <w:r>
                    <w:rPr>
                      <w:rFonts w:ascii="宋体" w:hAnsi="宋体" w:hint="eastAsia"/>
                      <w:bCs/>
                    </w:rPr>
                    <w:t>合计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pBdr>
                      <w:bottom w:val="single" w:sz="6" w:space="1" w:color="auto"/>
                    </w:pBdr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0%</w:t>
                  </w:r>
                </w:p>
              </w:tc>
            </w:tr>
          </w:tbl>
          <w:p w:rsidR="002F519F" w:rsidRDefault="002F519F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 w:rsidR="002F519F" w:rsidRDefault="007A23DE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相关商品市场：船舶制造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相关地域市场：全球市场</w:t>
            </w:r>
          </w:p>
          <w:p w:rsidR="002F519F" w:rsidRDefault="007A23D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市场份额：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2186"/>
              <w:gridCol w:w="2728"/>
            </w:tblGrid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2F519F">
                  <w:pPr>
                    <w:pStyle w:val="a3"/>
                    <w:spacing w:after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2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全球市场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F519F" w:rsidRDefault="007A23DE">
                  <w:pPr>
                    <w:pStyle w:val="a3"/>
                    <w:spacing w:after="0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  <w:b/>
                    </w:rPr>
                    <w:t>中国市场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沙特阿美发展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>
                    <w:t>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/>
                    </w:rPr>
                  </w:pPr>
                  <w:r>
                    <w:rPr>
                      <w:rFonts w:ascii="宋体" w:hAnsi="宋体" w:hint="eastAsia"/>
                    </w:rPr>
                    <w:t>韩国造船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5-20%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5-10%</w:t>
                  </w:r>
                </w:p>
              </w:tc>
            </w:tr>
            <w:tr w:rsidR="002F519F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F519F" w:rsidRDefault="007A23DE">
                  <w:pPr>
                    <w:pStyle w:val="a3"/>
                    <w:spacing w:after="0"/>
                    <w:rPr>
                      <w:rFonts w:ascii="宋体" w:hAnsi="宋体"/>
                      <w:bCs/>
                    </w:rPr>
                  </w:pPr>
                  <w:r>
                    <w:rPr>
                      <w:rFonts w:ascii="宋体" w:hAnsi="宋体" w:hint="eastAsia"/>
                      <w:bCs/>
                    </w:rPr>
                    <w:t>合计</w:t>
                  </w:r>
                </w:p>
              </w:tc>
              <w:tc>
                <w:tcPr>
                  <w:tcW w:w="2186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>
                    <w:t>5-20%</w:t>
                  </w:r>
                </w:p>
              </w:tc>
              <w:tc>
                <w:tcPr>
                  <w:tcW w:w="2728" w:type="dxa"/>
                  <w:shd w:val="clear" w:color="auto" w:fill="auto"/>
                </w:tcPr>
                <w:p w:rsidR="002F519F" w:rsidRDefault="007A23DE">
                  <w:pPr>
                    <w:pStyle w:val="a3"/>
                    <w:spacing w:after="0" w:line="320" w:lineRule="atLeast"/>
                    <w:jc w:val="center"/>
                  </w:pPr>
                  <w:r>
                    <w:t>5-10%</w:t>
                  </w:r>
                </w:p>
              </w:tc>
            </w:tr>
          </w:tbl>
          <w:p w:rsidR="002F519F" w:rsidRDefault="002F519F">
            <w:pPr>
              <w:numPr>
                <w:ilvl w:val="0"/>
                <w:numId w:val="1"/>
              </w:num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:rsidR="002F519F" w:rsidRDefault="002F519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2F519F" w:rsidRDefault="007A23DE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:rsidR="002F519F" w:rsidRDefault="007A23DE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2F519F" w:rsidRDefault="007A23DE">
      <w:pPr>
        <w:spacing w:line="360" w:lineRule="auto"/>
        <w:ind w:firstLineChars="200" w:firstLine="48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2F519F" w:rsidRDefault="002F519F"/>
    <w:sectPr w:rsidR="002F519F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4861" w:rsidRDefault="00EB4861">
      <w:r>
        <w:separator/>
      </w:r>
    </w:p>
  </w:endnote>
  <w:endnote w:type="continuationSeparator" w:id="0">
    <w:p w:rsidR="00EB4861" w:rsidRDefault="00EB4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19F" w:rsidRDefault="007A23DE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:rsidR="002F519F" w:rsidRDefault="002F51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4861" w:rsidRDefault="00EB4861">
      <w:r>
        <w:separator/>
      </w:r>
    </w:p>
  </w:footnote>
  <w:footnote w:type="continuationSeparator" w:id="0">
    <w:p w:rsidR="00EB4861" w:rsidRDefault="00EB4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CC7E0"/>
    <w:multiLevelType w:val="singleLevel"/>
    <w:tmpl w:val="089CC7E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46F6F"/>
    <w:rsid w:val="00062883"/>
    <w:rsid w:val="00094095"/>
    <w:rsid w:val="00095034"/>
    <w:rsid w:val="00156FA3"/>
    <w:rsid w:val="00194318"/>
    <w:rsid w:val="001B075F"/>
    <w:rsid w:val="00202C4C"/>
    <w:rsid w:val="00245776"/>
    <w:rsid w:val="00256294"/>
    <w:rsid w:val="002A5844"/>
    <w:rsid w:val="002F26C0"/>
    <w:rsid w:val="002F2D60"/>
    <w:rsid w:val="002F519F"/>
    <w:rsid w:val="00304627"/>
    <w:rsid w:val="00307976"/>
    <w:rsid w:val="00395D39"/>
    <w:rsid w:val="00462174"/>
    <w:rsid w:val="004F0716"/>
    <w:rsid w:val="005F167B"/>
    <w:rsid w:val="00681ED9"/>
    <w:rsid w:val="00784E35"/>
    <w:rsid w:val="007A23DE"/>
    <w:rsid w:val="007B57DF"/>
    <w:rsid w:val="0087581C"/>
    <w:rsid w:val="008E7B8C"/>
    <w:rsid w:val="00965784"/>
    <w:rsid w:val="009A174B"/>
    <w:rsid w:val="009C7A6D"/>
    <w:rsid w:val="009E2F7E"/>
    <w:rsid w:val="00A273EF"/>
    <w:rsid w:val="00AE6081"/>
    <w:rsid w:val="00BA0750"/>
    <w:rsid w:val="00BA1596"/>
    <w:rsid w:val="00BB2377"/>
    <w:rsid w:val="00C9068E"/>
    <w:rsid w:val="00CA7603"/>
    <w:rsid w:val="00D21777"/>
    <w:rsid w:val="00D6489D"/>
    <w:rsid w:val="00DF4E8B"/>
    <w:rsid w:val="00EB4861"/>
    <w:rsid w:val="00ED21B1"/>
    <w:rsid w:val="00ED762C"/>
    <w:rsid w:val="00F67F9E"/>
    <w:rsid w:val="00F87C1F"/>
    <w:rsid w:val="4C5E7AFD"/>
    <w:rsid w:val="6E82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E84DC"/>
  <w15:docId w15:val="{6D35BA5A-7719-457B-B2C2-34F7695C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pPr>
      <w:widowControl/>
      <w:spacing w:after="240"/>
    </w:pPr>
    <w:rPr>
      <w:rFonts w:cs="Times New Roman"/>
      <w:kern w:val="0"/>
      <w:sz w:val="24"/>
      <w:szCs w:val="24"/>
    </w:rPr>
  </w:style>
  <w:style w:type="paragraph" w:styleId="a5">
    <w:name w:val="endnote text"/>
    <w:basedOn w:val="a"/>
    <w:link w:val="a6"/>
    <w:uiPriority w:val="99"/>
    <w:unhideWhenUsed/>
    <w:pPr>
      <w:snapToGrid w:val="0"/>
      <w:jc w:val="left"/>
    </w:p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ndnote reference"/>
    <w:uiPriority w:val="99"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character" w:customStyle="1" w:styleId="a4">
    <w:name w:val="正文文本 字符"/>
    <w:link w:val="a3"/>
    <w:rPr>
      <w:rFonts w:ascii="Times New Roman" w:hAnsi="Times New Roman" w:cs="Times New Roman" w:hint="default"/>
      <w:sz w:val="24"/>
      <w:szCs w:val="24"/>
      <w:lang w:val="en-US" w:eastAsia="en-US" w:bidi="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 Wang</dc:creator>
  <cp:lastModifiedBy>Moon Wang</cp:lastModifiedBy>
  <cp:revision>5</cp:revision>
  <dcterms:created xsi:type="dcterms:W3CDTF">2019-09-26T11:45:00Z</dcterms:created>
  <dcterms:modified xsi:type="dcterms:W3CDTF">2019-12-20T02:59:00Z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0030589</vt:lpwstr>
  </property>
  <property fmtid="{D5CDD505-2E9C-101B-9397-08002B2CF9AE}" pid="3" name="cpClientMatter">
    <vt:lpwstr>0030589-0000160</vt:lpwstr>
  </property>
  <property fmtid="{D5CDD505-2E9C-101B-9397-08002B2CF9AE}" pid="4" name="cpCombinedRef">
    <vt:lpwstr>0030589-0000160 BJ:4089822.1</vt:lpwstr>
  </property>
  <property fmtid="{D5CDD505-2E9C-101B-9397-08002B2CF9AE}" pid="5" name="cpDocRef">
    <vt:lpwstr>BJ:4089822.1</vt:lpwstr>
  </property>
  <property fmtid="{D5CDD505-2E9C-101B-9397-08002B2CF9AE}" pid="6" name="Matter">
    <vt:lpwstr>0000160</vt:lpwstr>
  </property>
  <property fmtid="{D5CDD505-2E9C-101B-9397-08002B2CF9AE}" pid="7" name="KSOProductBuildVer">
    <vt:lpwstr>2052-11.1.0.9208</vt:lpwstr>
  </property>
</Properties>
</file>