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left"/>
        <w:rPr>
          <w:rFonts w:ascii="Times New Roman" w:hAnsi="Times New Roman" w:cs="Times New Roman"/>
          <w:sz w:val="24"/>
        </w:rPr>
      </w:pPr>
      <w:r>
        <w:rPr>
          <w:rFonts w:hint="eastAsia" w:ascii="Times New Roman" w:hAnsi="Times New Roman" w:cs="Times New Roman"/>
          <w:sz w:val="24"/>
        </w:rPr>
        <w:t>附件：</w:t>
      </w:r>
    </w:p>
    <w:p>
      <w:pPr>
        <w:spacing w:line="440" w:lineRule="exact"/>
        <w:jc w:val="center"/>
        <w:rPr>
          <w:rFonts w:ascii="Times New Roman" w:hAnsi="Times New Roman" w:eastAsia="仿宋" w:cs="Times New Roman"/>
          <w:sz w:val="30"/>
          <w:szCs w:val="30"/>
        </w:rPr>
      </w:pPr>
      <w:r>
        <w:rPr>
          <w:rFonts w:hint="eastAsia" w:ascii="Times New Roman" w:hAnsi="Times New Roman" w:eastAsia="仿宋" w:cs="Times New Roman"/>
          <w:sz w:val="30"/>
          <w:szCs w:val="30"/>
        </w:rPr>
        <w:t>经营者集中简易案件公示表</w:t>
      </w:r>
    </w:p>
    <w:p>
      <w:pPr>
        <w:spacing w:line="440" w:lineRule="exact"/>
        <w:jc w:val="center"/>
        <w:rPr>
          <w:rFonts w:ascii="Times New Roman" w:hAnsi="Times New Roman" w:eastAsia="仿宋" w:cs="Times New Roman"/>
          <w:sz w:val="30"/>
          <w:szCs w:val="30"/>
        </w:rPr>
      </w:pPr>
    </w:p>
    <w:p>
      <w:pPr>
        <w:spacing w:line="440" w:lineRule="exact"/>
        <w:rPr>
          <w:rFonts w:ascii="Times New Roman" w:hAnsi="Times New Roman" w:eastAsia="仿宋" w:cs="Times New Roman"/>
          <w:sz w:val="28"/>
          <w:szCs w:val="28"/>
        </w:rPr>
      </w:pP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案件名称</w:t>
            </w:r>
          </w:p>
        </w:tc>
        <w:tc>
          <w:tcPr>
            <w:tcW w:w="6949" w:type="dxa"/>
            <w:gridSpan w:val="2"/>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温氏食品集团股份有限公司收购河南省新大牧业股份有限公司股权案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交易概况</w:t>
            </w:r>
          </w:p>
          <w:p>
            <w:pPr>
              <w:spacing w:line="500" w:lineRule="exact"/>
              <w:jc w:val="center"/>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（限200字内）</w:t>
            </w:r>
          </w:p>
        </w:tc>
        <w:tc>
          <w:tcPr>
            <w:tcW w:w="6949" w:type="dxa"/>
            <w:gridSpan w:val="2"/>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温氏食品集团股份有限公司（以下简称“温氏股份”）的全资子公司温氏（深圳）股权投资管理有限公司（以下简称“温氏产投”）支付现金35040.4822万元购买河南省新大牧业股份有限公司（以下简称“新大牧业”）17名股东合计持有的新大牧业41.22%股份，同时，温氏产投对新大牧业现金增资46,000万元，增资完成后，温氏产投持有新大牧业61.86%股份。本次交易实施后，新大牧业变更为温氏股份控股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参与集中的</w:t>
            </w:r>
          </w:p>
          <w:p>
            <w:pPr>
              <w:spacing w:line="500" w:lineRule="exact"/>
              <w:jc w:val="center"/>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经营者简介</w:t>
            </w:r>
          </w:p>
        </w:tc>
        <w:tc>
          <w:tcPr>
            <w:tcW w:w="1796" w:type="dxa"/>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1、温氏股份</w:t>
            </w:r>
          </w:p>
        </w:tc>
        <w:tc>
          <w:tcPr>
            <w:tcW w:w="5153" w:type="dxa"/>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以肉猪、肉鸡养殖为主，以奶牛、肉鸭等其他养殖为辅，以食品加工、农牧设备、兽药生产等为产业链配套的大型畜牧养殖企业。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Times New Roman" w:hAnsi="Times New Roman" w:eastAsia="仿宋" w:cs="Times New Roman"/>
                <w:color w:val="333333"/>
                <w:kern w:val="0"/>
                <w:sz w:val="24"/>
              </w:rPr>
            </w:pPr>
          </w:p>
        </w:tc>
        <w:tc>
          <w:tcPr>
            <w:tcW w:w="1796" w:type="dxa"/>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2、新大牧业</w:t>
            </w:r>
          </w:p>
        </w:tc>
        <w:tc>
          <w:tcPr>
            <w:tcW w:w="5153" w:type="dxa"/>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主营业务为商品肉猪的养殖和销售。</w:t>
            </w:r>
            <w:r>
              <w:rPr>
                <w:rFonts w:hint="eastAsia" w:ascii="Times New Roman" w:hAnsi="Times New Roman" w:eastAsia="仿宋" w:cs="Times New Roman"/>
                <w:color w:val="333333"/>
                <w:kern w:val="0"/>
                <w:sz w:val="24"/>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Times New Roman" w:hAnsi="Times New Roman" w:eastAsia="仿宋" w:cs="Times New Roman"/>
                <w:color w:val="333333"/>
                <w:kern w:val="0"/>
                <w:sz w:val="24"/>
              </w:rPr>
              <w:instrText xml:space="preserve">ADDIN CNKISM.UserStyle</w:instrText>
            </w:r>
            <w:r>
              <w:rPr>
                <w:rFonts w:hint="eastAsia" w:ascii="Times New Roman" w:hAnsi="Times New Roman" w:eastAsia="仿宋" w:cs="Times New Roman"/>
                <w:color w:val="333333"/>
                <w:kern w:val="0"/>
                <w:sz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简易案件理由（可以单选，也可以多选）</w:t>
            </w:r>
          </w:p>
        </w:tc>
        <w:tc>
          <w:tcPr>
            <w:tcW w:w="6949" w:type="dxa"/>
            <w:gridSpan w:val="2"/>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sym w:font="Wingdings 2" w:char="0052"/>
            </w:r>
            <w:r>
              <w:rPr>
                <w:rFonts w:hint="eastAsia" w:ascii="Times New Roman" w:hAnsi="Times New Roman" w:eastAsia="仿宋" w:cs="Times New Roman"/>
                <w:color w:val="333333"/>
                <w:kern w:val="0"/>
                <w:sz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Times New Roman" w:hAnsi="Times New Roman" w:eastAsia="仿宋" w:cs="Times New Roman"/>
                <w:color w:val="333333"/>
                <w:kern w:val="0"/>
                <w:sz w:val="24"/>
              </w:rPr>
            </w:pPr>
          </w:p>
        </w:tc>
        <w:tc>
          <w:tcPr>
            <w:tcW w:w="6949" w:type="dxa"/>
            <w:gridSpan w:val="2"/>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sym w:font="Wingdings" w:char="00A8"/>
            </w:r>
            <w:r>
              <w:rPr>
                <w:rFonts w:hint="eastAsia" w:ascii="Times New Roman" w:hAnsi="Times New Roman" w:eastAsia="仿宋" w:cs="Times New Roman"/>
                <w:color w:val="333333"/>
                <w:kern w:val="0"/>
                <w:sz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Times New Roman" w:hAnsi="Times New Roman" w:eastAsia="仿宋" w:cs="Times New Roman"/>
                <w:color w:val="333333"/>
                <w:kern w:val="0"/>
                <w:sz w:val="24"/>
              </w:rPr>
            </w:pPr>
          </w:p>
        </w:tc>
        <w:tc>
          <w:tcPr>
            <w:tcW w:w="6949" w:type="dxa"/>
            <w:gridSpan w:val="2"/>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sym w:font="Wingdings 2" w:char="00A3"/>
            </w:r>
            <w:r>
              <w:rPr>
                <w:rFonts w:hint="eastAsia" w:ascii="Times New Roman" w:hAnsi="Times New Roman" w:eastAsia="仿宋" w:cs="Times New Roman"/>
                <w:color w:val="333333"/>
                <w:kern w:val="0"/>
                <w:sz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Times New Roman" w:hAnsi="Times New Roman" w:eastAsia="仿宋" w:cs="Times New Roman"/>
                <w:color w:val="333333"/>
                <w:kern w:val="0"/>
                <w:sz w:val="24"/>
              </w:rPr>
            </w:pPr>
          </w:p>
        </w:tc>
        <w:tc>
          <w:tcPr>
            <w:tcW w:w="6949" w:type="dxa"/>
            <w:gridSpan w:val="2"/>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Times New Roman" w:hAnsi="Times New Roman" w:eastAsia="仿宋" w:cs="Times New Roman"/>
                <w:color w:val="333333"/>
                <w:kern w:val="0"/>
                <w:sz w:val="24"/>
              </w:rPr>
            </w:pPr>
          </w:p>
        </w:tc>
        <w:tc>
          <w:tcPr>
            <w:tcW w:w="6949" w:type="dxa"/>
            <w:gridSpan w:val="2"/>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Times New Roman" w:hAnsi="Times New Roman" w:eastAsia="仿宋" w:cs="Times New Roman"/>
                <w:color w:val="333333"/>
                <w:kern w:val="0"/>
                <w:sz w:val="24"/>
              </w:rPr>
            </w:pPr>
          </w:p>
        </w:tc>
        <w:tc>
          <w:tcPr>
            <w:tcW w:w="6949" w:type="dxa"/>
            <w:gridSpan w:val="2"/>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59" w:hRule="atLeast"/>
        </w:trPr>
        <w:tc>
          <w:tcPr>
            <w:tcW w:w="1809" w:type="dxa"/>
            <w:shd w:val="clear" w:color="auto" w:fill="D9D9D9"/>
            <w:vAlign w:val="center"/>
          </w:tcPr>
          <w:p>
            <w:pPr>
              <w:spacing w:line="500" w:lineRule="exact"/>
              <w:jc w:val="center"/>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备注</w:t>
            </w:r>
          </w:p>
        </w:tc>
        <w:tc>
          <w:tcPr>
            <w:tcW w:w="6949" w:type="dxa"/>
            <w:gridSpan w:val="2"/>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本案界定以下相关市场：</w:t>
            </w:r>
          </w:p>
          <w:tbl>
            <w:tblPr>
              <w:tblStyle w:val="5"/>
              <w:tblW w:w="65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59"/>
              <w:gridCol w:w="2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359" w:type="dxa"/>
                  <w:shd w:val="clear" w:color="auto" w:fill="auto"/>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相关商品市场</w:t>
                  </w:r>
                </w:p>
              </w:tc>
              <w:tc>
                <w:tcPr>
                  <w:tcW w:w="2216" w:type="dxa"/>
                  <w:shd w:val="clear" w:color="auto" w:fill="auto"/>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相关地域市场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359" w:type="dxa"/>
                  <w:shd w:val="clear" w:color="auto" w:fill="auto"/>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lang w:eastAsia="zh-CN"/>
                    </w:rPr>
                    <w:t>生</w:t>
                  </w:r>
                  <w:bookmarkStart w:id="0" w:name="_GoBack"/>
                  <w:bookmarkEnd w:id="0"/>
                  <w:r>
                    <w:rPr>
                      <w:rFonts w:hint="eastAsia" w:ascii="Times New Roman" w:hAnsi="Times New Roman" w:eastAsia="仿宋" w:cs="Times New Roman"/>
                      <w:color w:val="333333"/>
                      <w:kern w:val="0"/>
                      <w:sz w:val="24"/>
                    </w:rPr>
                    <w:t>猪养殖</w:t>
                  </w:r>
                </w:p>
              </w:tc>
              <w:tc>
                <w:tcPr>
                  <w:tcW w:w="2216" w:type="dxa"/>
                  <w:shd w:val="clear" w:color="auto" w:fill="auto"/>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全国</w:t>
                  </w:r>
                </w:p>
              </w:tc>
            </w:tr>
          </w:tbl>
          <w:p>
            <w:pPr>
              <w:spacing w:line="500" w:lineRule="exact"/>
              <w:rPr>
                <w:rFonts w:ascii="Times New Roman" w:hAnsi="Times New Roman" w:eastAsia="仿宋" w:cs="Times New Roman"/>
                <w:color w:val="333333"/>
                <w:kern w:val="0"/>
                <w:sz w:val="24"/>
              </w:rPr>
            </w:pPr>
          </w:p>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相关市场集中各方市场份额：</w:t>
            </w:r>
          </w:p>
          <w:tbl>
            <w:tblPr>
              <w:tblStyle w:val="5"/>
              <w:tblW w:w="64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0"/>
              <w:gridCol w:w="1771"/>
              <w:gridCol w:w="19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90" w:type="dxa"/>
                  <w:shd w:val="clear" w:color="auto" w:fill="auto"/>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相关市场</w:t>
                  </w:r>
                </w:p>
              </w:tc>
              <w:tc>
                <w:tcPr>
                  <w:tcW w:w="1771" w:type="dxa"/>
                  <w:shd w:val="clear" w:color="auto" w:fill="auto"/>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温氏股份</w:t>
                  </w:r>
                </w:p>
              </w:tc>
              <w:tc>
                <w:tcPr>
                  <w:tcW w:w="1901" w:type="dxa"/>
                  <w:shd w:val="clear" w:color="auto" w:fill="auto"/>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新大牧业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90" w:type="dxa"/>
                  <w:shd w:val="clear" w:color="auto" w:fill="auto"/>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lang w:eastAsia="zh-CN"/>
                    </w:rPr>
                    <w:t>生</w:t>
                  </w:r>
                  <w:r>
                    <w:rPr>
                      <w:rFonts w:hint="eastAsia" w:ascii="Times New Roman" w:hAnsi="Times New Roman" w:eastAsia="仿宋" w:cs="Times New Roman"/>
                      <w:color w:val="333333"/>
                      <w:kern w:val="0"/>
                      <w:sz w:val="24"/>
                    </w:rPr>
                    <w:t>猪养殖</w:t>
                  </w:r>
                </w:p>
              </w:tc>
              <w:tc>
                <w:tcPr>
                  <w:tcW w:w="1771" w:type="dxa"/>
                  <w:shd w:val="clear" w:color="auto" w:fill="auto"/>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[0-5%]</w:t>
                  </w:r>
                </w:p>
              </w:tc>
              <w:tc>
                <w:tcPr>
                  <w:tcW w:w="1901" w:type="dxa"/>
                  <w:shd w:val="clear" w:color="auto" w:fill="auto"/>
                </w:tcPr>
                <w:p>
                  <w:pPr>
                    <w:spacing w:line="500" w:lineRule="exact"/>
                    <w:rPr>
                      <w:rFonts w:ascii="Times New Roman" w:hAnsi="Times New Roman" w:eastAsia="仿宋" w:cs="Times New Roman"/>
                      <w:color w:val="333333"/>
                      <w:kern w:val="0"/>
                      <w:sz w:val="24"/>
                    </w:rPr>
                  </w:pPr>
                  <w:r>
                    <w:rPr>
                      <w:rFonts w:hint="eastAsia" w:ascii="Times New Roman" w:hAnsi="Times New Roman" w:eastAsia="仿宋" w:cs="Times New Roman"/>
                      <w:color w:val="333333"/>
                      <w:kern w:val="0"/>
                      <w:sz w:val="24"/>
                    </w:rPr>
                    <w:t>[0-5%]</w:t>
                  </w:r>
                </w:p>
              </w:tc>
            </w:tr>
          </w:tbl>
          <w:p>
            <w:pPr>
              <w:spacing w:line="500" w:lineRule="exact"/>
              <w:rPr>
                <w:rFonts w:ascii="Times New Roman" w:hAnsi="Times New Roman" w:eastAsia="仿宋" w:cs="Times New Roman"/>
                <w:color w:val="333333"/>
                <w:kern w:val="0"/>
                <w:sz w:val="24"/>
              </w:rPr>
            </w:pPr>
          </w:p>
        </w:tc>
      </w:tr>
    </w:tbl>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decorative"/>
    <w:pitch w:val="default"/>
    <w:sig w:usb0="00000000" w:usb1="00000000" w:usb2="00000000" w:usb3="00000000" w:csb0="80000000" w:csb1="00000000"/>
  </w:font>
  <w:font w:name="Calibri Light">
    <w:panose1 w:val="020F0302020204030204"/>
    <w:charset w:val="00"/>
    <w:family w:val="swiss"/>
    <w:pitch w:val="default"/>
    <w:sig w:usb0="A00002EF" w:usb1="4000207B" w:usb2="00000000" w:usb3="00000000" w:csb0="2000019F"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142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character" w:styleId="4">
    <w:name w:val="page number"/>
    <w:basedOn w:val="3"/>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Office_10.8.0.6157_F1E327BC-269C-435d-A152-05C5408002CA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2019-12-13T08:16:00Z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2052-10.8.0.6157</vt:lpwstr>
  </property>
</Properties>
</file>