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cs="Times New Roman"/>
          <w:sz w:val="30"/>
          <w:szCs w:val="30"/>
        </w:rPr>
      </w:pPr>
      <w:r>
        <w:rPr>
          <w:rFonts w:hint="eastAsia" w:ascii="黑体" w:hAnsi="Times New Roman" w:eastAsia="黑体" w:cs="Times New Roman"/>
          <w:sz w:val="30"/>
          <w:szCs w:val="30"/>
        </w:rPr>
        <w:t>经营者集中简易案件公示表</w:t>
      </w:r>
    </w:p>
    <w:p>
      <w:pPr>
        <w:spacing w:line="440" w:lineRule="exact"/>
        <w:rPr>
          <w:rFonts w:ascii="仿宋_GB2312" w:hAnsi="Times New Roman" w:eastAsia="仿宋_GB2312" w:cs="Times New Roman"/>
          <w:sz w:val="28"/>
          <w:szCs w:val="28"/>
        </w:rPr>
      </w:pPr>
    </w:p>
    <w:tbl>
      <w:tblPr>
        <w:tblStyle w:val="7"/>
        <w:tblW w:w="847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3"/>
        <w:gridCol w:w="1937"/>
        <w:gridCol w:w="48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73" w:type="dxa"/>
            <w:shd w:val="clear" w:color="auto" w:fill="D9D9D9"/>
            <w:vAlign w:val="center"/>
          </w:tcPr>
          <w:p>
            <w:pPr>
              <w:widowControl/>
              <w:snapToGrid w:val="0"/>
              <w:spacing w:before="156" w:beforeLines="50" w:after="156" w:afterLines="50" w:line="400" w:lineRule="exact"/>
              <w:jc w:val="center"/>
              <w:rPr>
                <w:rFonts w:ascii="Times New Roman" w:hAnsi="宋体" w:eastAsia="宋体" w:cs="Times New Roman"/>
                <w:sz w:val="24"/>
                <w:szCs w:val="24"/>
              </w:rPr>
            </w:pPr>
            <w:r>
              <w:rPr>
                <w:rFonts w:ascii="Times New Roman" w:hAnsi="宋体" w:eastAsia="宋体" w:cs="Times New Roman"/>
                <w:sz w:val="24"/>
                <w:szCs w:val="24"/>
              </w:rPr>
              <w:t>案件名称</w:t>
            </w:r>
          </w:p>
        </w:tc>
        <w:tc>
          <w:tcPr>
            <w:tcW w:w="6804" w:type="dxa"/>
            <w:gridSpan w:val="2"/>
          </w:tcPr>
          <w:p>
            <w:pPr>
              <w:widowControl/>
              <w:snapToGrid w:val="0"/>
              <w:spacing w:before="156" w:beforeLines="50" w:after="156" w:afterLines="50" w:line="400" w:lineRule="exact"/>
              <w:rPr>
                <w:rFonts w:ascii="Times New Roman" w:hAnsi="宋体" w:eastAsia="宋体" w:cs="Times New Roman"/>
                <w:sz w:val="24"/>
                <w:szCs w:val="24"/>
              </w:rPr>
            </w:pPr>
            <w:r>
              <w:rPr>
                <w:rFonts w:hint="eastAsia" w:ascii="Times New Roman" w:hAnsi="宋体" w:eastAsia="宋体" w:cs="Times New Roman"/>
                <w:sz w:val="24"/>
                <w:szCs w:val="24"/>
              </w:rPr>
              <w:t>普洛斯投资（上海）有限公司与东方航空物流股份有限公司新设合营企业案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673" w:type="dxa"/>
            <w:shd w:val="clear" w:color="auto" w:fill="D9D9D9"/>
            <w:vAlign w:val="center"/>
          </w:tcPr>
          <w:p>
            <w:pPr>
              <w:widowControl/>
              <w:snapToGrid w:val="0"/>
              <w:spacing w:before="156" w:beforeLines="50" w:after="156" w:afterLines="50" w:line="400" w:lineRule="exact"/>
              <w:rPr>
                <w:rFonts w:ascii="Times New Roman" w:hAnsi="宋体" w:eastAsia="宋体" w:cs="Times New Roman"/>
                <w:sz w:val="24"/>
                <w:szCs w:val="24"/>
              </w:rPr>
            </w:pPr>
            <w:r>
              <w:rPr>
                <w:rFonts w:ascii="Times New Roman" w:hAnsi="宋体" w:eastAsia="宋体" w:cs="Times New Roman"/>
                <w:sz w:val="24"/>
                <w:szCs w:val="24"/>
              </w:rPr>
              <w:t>交易概况（限200字内）</w:t>
            </w:r>
          </w:p>
        </w:tc>
        <w:tc>
          <w:tcPr>
            <w:tcW w:w="6804" w:type="dxa"/>
            <w:gridSpan w:val="2"/>
          </w:tcPr>
          <w:p>
            <w:pPr>
              <w:widowControl/>
              <w:snapToGrid w:val="0"/>
              <w:spacing w:before="156" w:beforeLines="50" w:after="156" w:afterLines="50" w:line="400" w:lineRule="exact"/>
              <w:rPr>
                <w:rFonts w:ascii="Times New Roman" w:hAnsi="宋体" w:eastAsia="宋体" w:cs="Times New Roman"/>
                <w:bCs/>
                <w:sz w:val="24"/>
                <w:szCs w:val="24"/>
              </w:rPr>
            </w:pPr>
            <w:r>
              <w:rPr>
                <w:rFonts w:hint="eastAsia" w:ascii="Times New Roman" w:hAnsi="宋体" w:eastAsia="宋体" w:cs="Times New Roman"/>
                <w:bCs/>
                <w:sz w:val="24"/>
                <w:szCs w:val="24"/>
              </w:rPr>
              <w:t>普洛斯投资</w:t>
            </w:r>
            <w:r>
              <w:rPr>
                <w:rFonts w:ascii="Times New Roman" w:hAnsi="宋体" w:eastAsia="宋体" w:cs="Times New Roman"/>
                <w:bCs/>
                <w:sz w:val="24"/>
                <w:szCs w:val="24"/>
              </w:rPr>
              <w:t>(上海)有限公司（下称“普洛斯</w:t>
            </w:r>
            <w:r>
              <w:rPr>
                <w:rFonts w:hint="eastAsia" w:ascii="Times New Roman" w:hAnsi="宋体" w:eastAsia="宋体" w:cs="Times New Roman"/>
                <w:bCs/>
                <w:sz w:val="24"/>
                <w:szCs w:val="24"/>
              </w:rPr>
              <w:t>投资</w:t>
            </w:r>
            <w:r>
              <w:rPr>
                <w:rFonts w:ascii="Times New Roman" w:hAnsi="宋体" w:eastAsia="宋体" w:cs="Times New Roman"/>
                <w:bCs/>
                <w:sz w:val="24"/>
                <w:szCs w:val="24"/>
              </w:rPr>
              <w:t>公司”）拟通过其控制的关联实体隐山普擎（上海）商务咨询有限公司（下称“隐山普擎公司”）和东方航空物流股份有限公司（下称“东航物流公司”）新设一家合营企业上海东储擎仓咨询管理有限公司</w:t>
            </w:r>
            <w:r>
              <w:rPr>
                <w:rFonts w:hint="eastAsia" w:ascii="Times New Roman" w:hAnsi="宋体" w:eastAsia="宋体" w:cs="Times New Roman"/>
                <w:bCs/>
                <w:sz w:val="24"/>
                <w:szCs w:val="24"/>
              </w:rPr>
              <w:t>（暂定名，下称“</w:t>
            </w:r>
            <w:r>
              <w:rPr>
                <w:rFonts w:ascii="Times New Roman" w:hAnsi="宋体" w:eastAsia="宋体" w:cs="Times New Roman"/>
                <w:bCs/>
                <w:sz w:val="24"/>
                <w:szCs w:val="24"/>
              </w:rPr>
              <w:t>东储擎仓</w:t>
            </w:r>
            <w:r>
              <w:rPr>
                <w:rFonts w:hint="eastAsia" w:ascii="Times New Roman" w:hAnsi="宋体" w:eastAsia="宋体" w:cs="Times New Roman"/>
                <w:bCs/>
                <w:sz w:val="24"/>
                <w:szCs w:val="24"/>
              </w:rPr>
              <w:t>公司”）。在本次交易完成后，</w:t>
            </w:r>
            <w:r>
              <w:rPr>
                <w:rFonts w:ascii="Times New Roman" w:hAnsi="宋体" w:eastAsia="宋体" w:cs="Times New Roman"/>
                <w:bCs/>
                <w:sz w:val="24"/>
                <w:szCs w:val="24"/>
              </w:rPr>
              <w:t>普洛斯</w:t>
            </w:r>
            <w:r>
              <w:rPr>
                <w:rFonts w:hint="eastAsia" w:ascii="Times New Roman" w:hAnsi="宋体" w:eastAsia="宋体" w:cs="Times New Roman"/>
                <w:bCs/>
                <w:sz w:val="24"/>
                <w:szCs w:val="24"/>
              </w:rPr>
              <w:t>投资</w:t>
            </w:r>
            <w:r>
              <w:rPr>
                <w:rFonts w:ascii="Times New Roman" w:hAnsi="宋体" w:eastAsia="宋体" w:cs="Times New Roman"/>
                <w:bCs/>
                <w:sz w:val="24"/>
                <w:szCs w:val="24"/>
              </w:rPr>
              <w:t>公司</w:t>
            </w:r>
            <w:r>
              <w:rPr>
                <w:rFonts w:hint="eastAsia" w:ascii="Times New Roman" w:hAnsi="宋体" w:eastAsia="宋体" w:cs="Times New Roman"/>
                <w:bCs/>
                <w:sz w:val="24"/>
                <w:szCs w:val="24"/>
              </w:rPr>
              <w:t>将通过隐山普擎公司与东航物流公司分别持有占</w:t>
            </w:r>
            <w:r>
              <w:rPr>
                <w:rFonts w:ascii="Times New Roman" w:hAnsi="宋体" w:eastAsia="宋体" w:cs="Times New Roman"/>
                <w:bCs/>
                <w:sz w:val="24"/>
                <w:szCs w:val="24"/>
              </w:rPr>
              <w:t>东储擎仓</w:t>
            </w:r>
            <w:r>
              <w:rPr>
                <w:rFonts w:hint="eastAsia" w:ascii="Times New Roman" w:hAnsi="宋体" w:eastAsia="宋体" w:cs="Times New Roman"/>
                <w:bCs/>
                <w:sz w:val="24"/>
                <w:szCs w:val="24"/>
              </w:rPr>
              <w:t>公司注册资本</w:t>
            </w:r>
            <w:r>
              <w:rPr>
                <w:rFonts w:ascii="Times New Roman" w:hAnsi="宋体" w:eastAsia="宋体" w:cs="Times New Roman"/>
                <w:bCs/>
                <w:sz w:val="24"/>
                <w:szCs w:val="24"/>
              </w:rPr>
              <w:t>50%的股权，并共同控制东储擎仓</w:t>
            </w:r>
            <w:r>
              <w:rPr>
                <w:rFonts w:hint="eastAsia" w:ascii="Times New Roman" w:hAnsi="宋体" w:eastAsia="宋体" w:cs="Times New Roman"/>
                <w:bCs/>
                <w:sz w:val="24"/>
                <w:szCs w:val="24"/>
              </w:rPr>
              <w:t>公司</w:t>
            </w:r>
            <w:r>
              <w:rPr>
                <w:rFonts w:ascii="Times New Roman" w:hAnsi="宋体" w:eastAsia="宋体" w:cs="Times New Roman"/>
                <w:bCs/>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673" w:type="dxa"/>
            <w:vMerge w:val="restart"/>
            <w:shd w:val="clear" w:color="auto" w:fill="D9D9D9"/>
            <w:vAlign w:val="center"/>
          </w:tcPr>
          <w:p>
            <w:pPr>
              <w:spacing w:line="500" w:lineRule="exact"/>
              <w:rPr>
                <w:rFonts w:ascii="Times New Roman" w:hAnsi="Times New Roman" w:eastAsia="宋体" w:cs="Times New Roman"/>
                <w:sz w:val="24"/>
                <w:szCs w:val="24"/>
              </w:rPr>
            </w:pPr>
            <w:r>
              <w:rPr>
                <w:rFonts w:ascii="Times New Roman" w:hAnsi="宋体" w:eastAsia="宋体" w:cs="Times New Roman"/>
                <w:sz w:val="24"/>
                <w:szCs w:val="24"/>
              </w:rPr>
              <w:t>参与集中的经营者简介</w:t>
            </w:r>
          </w:p>
        </w:tc>
        <w:tc>
          <w:tcPr>
            <w:tcW w:w="1937" w:type="dxa"/>
            <w:vAlign w:val="center"/>
          </w:tcPr>
          <w:p>
            <w:pPr>
              <w:spacing w:before="156" w:beforeLines="50" w:after="156" w:afterLines="50" w:line="400" w:lineRule="exact"/>
              <w:rPr>
                <w:rFonts w:ascii="Times New Roman" w:hAnsi="Times New Roman" w:eastAsia="宋体" w:cs="Times New Roman"/>
                <w:sz w:val="24"/>
                <w:szCs w:val="24"/>
              </w:rPr>
            </w:pPr>
            <w:r>
              <w:rPr>
                <w:rFonts w:hint="eastAsia" w:ascii="Times New Roman" w:hAnsi="宋体" w:eastAsia="宋体" w:cs="Times New Roman"/>
                <w:sz w:val="24"/>
                <w:szCs w:val="24"/>
              </w:rPr>
              <w:t>普洛斯投资公司</w:t>
            </w:r>
          </w:p>
        </w:tc>
        <w:tc>
          <w:tcPr>
            <w:tcW w:w="4867" w:type="dxa"/>
          </w:tcPr>
          <w:p>
            <w:pPr>
              <w:spacing w:before="156" w:beforeLines="50" w:after="156" w:afterLines="50" w:line="400" w:lineRule="exact"/>
              <w:rPr>
                <w:rFonts w:ascii="Times New Roman" w:hAnsi="宋体" w:eastAsia="宋体" w:cs="Times New Roman"/>
                <w:sz w:val="24"/>
                <w:szCs w:val="24"/>
              </w:rPr>
            </w:pPr>
            <w:r>
              <w:rPr>
                <w:rFonts w:hint="eastAsia" w:ascii="Times New Roman" w:hAnsi="宋体" w:eastAsia="宋体" w:cs="Times New Roman"/>
                <w:sz w:val="24"/>
                <w:szCs w:val="24"/>
              </w:rPr>
              <w:t>普洛斯投资公司系一家根据中国法律于</w:t>
            </w:r>
            <w:r>
              <w:rPr>
                <w:rFonts w:ascii="Times New Roman" w:hAnsi="宋体" w:eastAsia="宋体" w:cs="Times New Roman"/>
                <w:sz w:val="24"/>
                <w:szCs w:val="24"/>
              </w:rPr>
              <w:t>2004年8月</w:t>
            </w:r>
            <w:r>
              <w:rPr>
                <w:rFonts w:hint="eastAsia" w:ascii="Times New Roman" w:hAnsi="宋体" w:eastAsia="宋体" w:cs="Times New Roman"/>
                <w:sz w:val="24"/>
                <w:szCs w:val="24"/>
              </w:rPr>
              <w:t>成立的有限责任公司</w:t>
            </w:r>
            <w:r>
              <w:rPr>
                <w:rFonts w:ascii="Times New Roman" w:hAnsi="宋体" w:eastAsia="宋体" w:cs="Times New Roman"/>
                <w:sz w:val="24"/>
                <w:szCs w:val="24"/>
              </w:rPr>
              <w:t>，主要在中国境内投资设立公司，为其自身及其关联</w:t>
            </w:r>
            <w:r>
              <w:rPr>
                <w:rFonts w:hint="eastAsia" w:ascii="Times New Roman" w:hAnsi="宋体" w:eastAsia="宋体" w:cs="Times New Roman"/>
                <w:sz w:val="24"/>
                <w:szCs w:val="24"/>
              </w:rPr>
              <w:t>实体</w:t>
            </w:r>
            <w:r>
              <w:rPr>
                <w:rFonts w:ascii="Times New Roman" w:hAnsi="宋体" w:eastAsia="宋体" w:cs="Times New Roman"/>
                <w:sz w:val="24"/>
                <w:szCs w:val="24"/>
              </w:rPr>
              <w:t>在中国投资设立的公司提供投资管理和咨询服务、市场营销服务、员工培训和管理及支持服务、资金运作和财务管理服务、技术支持和研究开发服务、信息服务。</w:t>
            </w:r>
          </w:p>
          <w:p>
            <w:pPr>
              <w:spacing w:before="156" w:beforeLines="50" w:after="156" w:afterLines="50" w:line="400" w:lineRule="exact"/>
              <w:rPr>
                <w:rFonts w:ascii="Times New Roman" w:hAnsi="Times New Roman" w:eastAsia="宋体" w:cs="Times New Roman"/>
                <w:sz w:val="24"/>
                <w:szCs w:val="24"/>
              </w:rPr>
            </w:pPr>
            <w:r>
              <w:rPr>
                <w:rFonts w:hint="eastAsia" w:ascii="Times New Roman" w:hAnsi="宋体" w:eastAsia="宋体" w:cs="Times New Roman"/>
                <w:sz w:val="24"/>
                <w:szCs w:val="24"/>
              </w:rPr>
              <w:t>普洛斯投资公司及其关联实体在中国投资设立的公司的主营业务主要包括通用仓库和通用厂房的开发及租赁。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2" w:hRule="atLeast"/>
        </w:trPr>
        <w:tc>
          <w:tcPr>
            <w:tcW w:w="1673" w:type="dxa"/>
            <w:vMerge w:val="continue"/>
            <w:shd w:val="clear" w:color="auto" w:fill="D9D9D9"/>
          </w:tcPr>
          <w:p>
            <w:pPr>
              <w:spacing w:line="500" w:lineRule="exact"/>
              <w:rPr>
                <w:rFonts w:ascii="Times New Roman" w:hAnsi="Times New Roman" w:eastAsia="宋体" w:cs="Times New Roman"/>
                <w:sz w:val="24"/>
                <w:szCs w:val="24"/>
              </w:rPr>
            </w:pPr>
          </w:p>
        </w:tc>
        <w:tc>
          <w:tcPr>
            <w:tcW w:w="1937" w:type="dxa"/>
            <w:vAlign w:val="center"/>
          </w:tcPr>
          <w:p>
            <w:pPr>
              <w:spacing w:before="156" w:beforeLines="50" w:after="156" w:afterLines="50" w:line="400" w:lineRule="exact"/>
              <w:rPr>
                <w:rFonts w:ascii="Times New Roman" w:hAnsi="Times New Roman" w:eastAsia="宋体" w:cs="Times New Roman"/>
                <w:sz w:val="24"/>
                <w:szCs w:val="24"/>
              </w:rPr>
            </w:pPr>
            <w:r>
              <w:rPr>
                <w:rFonts w:ascii="Times New Roman" w:hAnsi="宋体" w:eastAsia="宋体" w:cs="Times New Roman"/>
                <w:bCs/>
                <w:sz w:val="24"/>
                <w:szCs w:val="24"/>
              </w:rPr>
              <w:t>东航物流公司</w:t>
            </w:r>
          </w:p>
        </w:tc>
        <w:tc>
          <w:tcPr>
            <w:tcW w:w="4867" w:type="dxa"/>
          </w:tcPr>
          <w:p>
            <w:pPr>
              <w:spacing w:before="156" w:beforeLines="50" w:after="156" w:afterLines="50" w:line="400" w:lineRule="exact"/>
              <w:rPr>
                <w:rFonts w:ascii="Times New Roman" w:hAnsi="宋体" w:eastAsia="宋体" w:cs="Times New Roman"/>
                <w:sz w:val="24"/>
                <w:szCs w:val="24"/>
              </w:rPr>
            </w:pPr>
            <w:r>
              <w:rPr>
                <w:rFonts w:hint="eastAsia" w:ascii="Times New Roman" w:hAnsi="宋体" w:eastAsia="宋体" w:cs="Times New Roman"/>
                <w:sz w:val="24"/>
                <w:szCs w:val="24"/>
              </w:rPr>
              <w:t>东航物流公司系一家根据中国法律于</w:t>
            </w:r>
            <w:r>
              <w:rPr>
                <w:rFonts w:ascii="Times New Roman" w:hAnsi="宋体" w:eastAsia="宋体" w:cs="Times New Roman"/>
                <w:sz w:val="24"/>
                <w:szCs w:val="24"/>
              </w:rPr>
              <w:t>2004年8月</w:t>
            </w:r>
            <w:r>
              <w:rPr>
                <w:rFonts w:hint="eastAsia" w:ascii="Times New Roman" w:hAnsi="宋体" w:eastAsia="宋体" w:cs="Times New Roman"/>
                <w:sz w:val="24"/>
                <w:szCs w:val="24"/>
              </w:rPr>
              <w:t>成立的股份有限公司</w:t>
            </w:r>
            <w:r>
              <w:rPr>
                <w:rFonts w:ascii="Times New Roman" w:hAnsi="宋体" w:eastAsia="宋体" w:cs="Times New Roman"/>
                <w:sz w:val="24"/>
                <w:szCs w:val="24"/>
              </w:rPr>
              <w:t>，</w:t>
            </w:r>
            <w:r>
              <w:rPr>
                <w:rFonts w:hint="eastAsia" w:ascii="Times New Roman" w:hAnsi="宋体" w:eastAsia="宋体" w:cs="Times New Roman"/>
                <w:sz w:val="24"/>
                <w:szCs w:val="24"/>
              </w:rPr>
              <w:t>东航物流公司依托于东航集团全球航线网络资源、拥有国内枢纽机场的地面操作资源、多元化的泛航空物流产品服务体系，以全方位信息系统为支撑，专注于为国内外客户提供安全、高效、精准、便捷的天地合一全程综合物流服务。</w:t>
            </w:r>
          </w:p>
          <w:p>
            <w:pPr>
              <w:spacing w:before="156" w:beforeLines="50" w:after="156" w:afterLines="50" w:line="400" w:lineRule="exact"/>
              <w:rPr>
                <w:rFonts w:ascii="Times New Roman" w:hAnsi="宋体" w:eastAsia="宋体" w:cs="Times New Roman"/>
                <w:sz w:val="24"/>
                <w:szCs w:val="24"/>
              </w:rPr>
            </w:pPr>
            <w:r>
              <w:rPr>
                <w:rFonts w:hint="eastAsia" w:ascii="Times New Roman" w:hAnsi="宋体" w:eastAsia="宋体" w:cs="Times New Roman"/>
                <w:sz w:val="24"/>
                <w:szCs w:val="24"/>
              </w:rPr>
              <w:t>东航物流公司主营业务包括航空速运、地面综合服务和综合物流解决方案。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673" w:type="dxa"/>
            <w:vMerge w:val="restart"/>
            <w:shd w:val="clear" w:color="auto" w:fill="D9D9D9"/>
            <w:vAlign w:val="center"/>
          </w:tcPr>
          <w:p>
            <w:pPr>
              <w:spacing w:line="500" w:lineRule="exact"/>
              <w:rPr>
                <w:rFonts w:ascii="Times New Roman" w:hAnsi="Times New Roman" w:eastAsia="宋体" w:cs="Times New Roman"/>
                <w:sz w:val="24"/>
                <w:szCs w:val="24"/>
              </w:rPr>
            </w:pPr>
            <w:r>
              <w:rPr>
                <w:rFonts w:ascii="Times New Roman" w:hAnsi="宋体" w:eastAsia="宋体" w:cs="Times New Roman"/>
                <w:sz w:val="24"/>
                <w:szCs w:val="24"/>
              </w:rPr>
              <w:t>简易案件理由（可多选）</w:t>
            </w:r>
          </w:p>
        </w:tc>
        <w:tc>
          <w:tcPr>
            <w:tcW w:w="6804" w:type="dxa"/>
            <w:gridSpan w:val="2"/>
          </w:tcPr>
          <w:p>
            <w:pPr>
              <w:spacing w:before="156" w:beforeLines="50" w:after="156" w:afterLines="50" w:line="400" w:lineRule="exact"/>
              <w:rPr>
                <w:rFonts w:ascii="Times New Roman" w:hAnsi="Times New Roman" w:eastAsia="宋体" w:cs="Times New Roman"/>
                <w:sz w:val="24"/>
                <w:szCs w:val="24"/>
              </w:rPr>
            </w:pPr>
            <w:r>
              <w:rPr>
                <w:rFonts w:ascii="Times New Roman" w:hAnsi="Times New Roman" w:eastAsia="宋体" w:cs="Times New Roman"/>
                <w:sz w:val="36"/>
                <w:szCs w:val="36"/>
              </w:rPr>
              <w:t>□</w:t>
            </w:r>
            <w:r>
              <w:rPr>
                <w:rFonts w:ascii="Times New Roman" w:hAnsi="Times New Roman" w:eastAsia="宋体" w:cs="Times New Roman"/>
                <w:sz w:val="24"/>
                <w:szCs w:val="24"/>
              </w:rPr>
              <w:t>1、</w:t>
            </w:r>
            <w:r>
              <w:rPr>
                <w:rFonts w:ascii="Times New Roman" w:hAnsi="宋体" w:eastAsia="宋体" w:cs="Times New Roman"/>
                <w:sz w:val="24"/>
                <w:szCs w:val="24"/>
              </w:rPr>
              <w:t>在同一相关市场，所有参与集中的经营者所占市场份额之和小于</w:t>
            </w:r>
            <w:r>
              <w:rPr>
                <w:rFonts w:ascii="Times New Roman" w:hAnsi="Times New Roman" w:eastAsia="宋体" w:cs="Times New Roman"/>
                <w:sz w:val="24"/>
                <w:szCs w:val="24"/>
              </w:rPr>
              <w:t>15%</w:t>
            </w:r>
            <w:r>
              <w:rPr>
                <w:rFonts w:ascii="Times New Roman" w:hAnsi="宋体" w:eastAsia="宋体" w:cs="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673" w:type="dxa"/>
            <w:vMerge w:val="continue"/>
            <w:shd w:val="clear" w:color="auto" w:fill="D9D9D9"/>
          </w:tcPr>
          <w:p>
            <w:pPr>
              <w:spacing w:line="500" w:lineRule="exact"/>
              <w:rPr>
                <w:rFonts w:ascii="Times New Roman" w:hAnsi="Times New Roman" w:eastAsia="宋体" w:cs="Times New Roman"/>
                <w:sz w:val="24"/>
                <w:szCs w:val="24"/>
              </w:rPr>
            </w:pPr>
          </w:p>
        </w:tc>
        <w:tc>
          <w:tcPr>
            <w:tcW w:w="6804" w:type="dxa"/>
            <w:gridSpan w:val="2"/>
          </w:tcPr>
          <w:p>
            <w:pPr>
              <w:spacing w:before="156" w:beforeLines="50" w:after="156" w:afterLines="50" w:line="400" w:lineRule="exact"/>
              <w:rPr>
                <w:rFonts w:ascii="Times New Roman" w:hAnsi="Times New Roman" w:eastAsia="宋体" w:cs="Times New Roman"/>
                <w:sz w:val="24"/>
                <w:szCs w:val="24"/>
              </w:rPr>
            </w:pPr>
            <w:r>
              <w:rPr>
                <w:rFonts w:ascii="Times New Roman" w:hAnsi="Times New Roman" w:eastAsia="宋体" w:cs="Times New Roman"/>
                <w:sz w:val="36"/>
                <w:szCs w:val="36"/>
              </w:rPr>
              <w:t>□</w:t>
            </w:r>
            <w:r>
              <w:rPr>
                <w:rFonts w:ascii="Times New Roman" w:hAnsi="Times New Roman" w:eastAsia="宋体" w:cs="Times New Roman"/>
                <w:sz w:val="24"/>
                <w:szCs w:val="24"/>
              </w:rPr>
              <w:t>2</w:t>
            </w:r>
            <w:r>
              <w:rPr>
                <w:rFonts w:ascii="Times New Roman" w:hAnsi="宋体" w:eastAsia="宋体" w:cs="Times New Roman"/>
                <w:sz w:val="24"/>
                <w:szCs w:val="24"/>
              </w:rPr>
              <w:t>、存在上下游关系的参与集中的经营者，在上下游市场所占的市场份额均小于</w:t>
            </w:r>
            <w:r>
              <w:rPr>
                <w:rFonts w:ascii="Times New Roman" w:hAnsi="Times New Roman" w:eastAsia="宋体" w:cs="Times New Roman"/>
                <w:sz w:val="24"/>
                <w:szCs w:val="24"/>
              </w:rPr>
              <w:t>25%</w:t>
            </w:r>
            <w:r>
              <w:rPr>
                <w:rFonts w:ascii="Times New Roman" w:hAnsi="宋体" w:eastAsia="宋体" w:cs="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673" w:type="dxa"/>
            <w:vMerge w:val="continue"/>
            <w:shd w:val="clear" w:color="auto" w:fill="D9D9D9"/>
          </w:tcPr>
          <w:p>
            <w:pPr>
              <w:spacing w:line="500" w:lineRule="exact"/>
              <w:rPr>
                <w:rFonts w:ascii="Times New Roman" w:hAnsi="Times New Roman" w:eastAsia="宋体" w:cs="Times New Roman"/>
                <w:sz w:val="24"/>
                <w:szCs w:val="24"/>
              </w:rPr>
            </w:pPr>
          </w:p>
        </w:tc>
        <w:tc>
          <w:tcPr>
            <w:tcW w:w="6804" w:type="dxa"/>
            <w:gridSpan w:val="2"/>
          </w:tcPr>
          <w:p>
            <w:pPr>
              <w:spacing w:before="156" w:beforeLines="50" w:after="156" w:afterLines="50" w:line="400" w:lineRule="exact"/>
              <w:rPr>
                <w:rFonts w:ascii="Times New Roman" w:hAnsi="Times New Roman" w:eastAsia="宋体" w:cs="Times New Roman"/>
                <w:sz w:val="24"/>
                <w:szCs w:val="24"/>
              </w:rPr>
            </w:pPr>
            <w:r>
              <w:rPr>
                <w:rFonts w:ascii="Times New Roman" w:hAnsi="Times New Roman" w:eastAsia="宋体" w:cs="Times New Roman"/>
                <w:sz w:val="24"/>
                <w:szCs w:val="24"/>
              </w:rPr>
              <w:sym w:font="Wingdings" w:char="F0FE"/>
            </w:r>
            <w:r>
              <w:rPr>
                <w:rFonts w:ascii="Times New Roman" w:hAnsi="Times New Roman" w:eastAsia="宋体" w:cs="Times New Roman"/>
                <w:sz w:val="24"/>
                <w:szCs w:val="24"/>
              </w:rPr>
              <w:t>3</w:t>
            </w:r>
            <w:r>
              <w:rPr>
                <w:rFonts w:ascii="Times New Roman" w:hAnsi="宋体" w:eastAsia="宋体" w:cs="Times New Roman"/>
                <w:sz w:val="24"/>
                <w:szCs w:val="24"/>
              </w:rPr>
              <w:t>、不在同一相关市场、也不存在上下游关系的参与集中的经营者，在与交易有关的每个市场所占的份额均小于</w:t>
            </w:r>
            <w:r>
              <w:rPr>
                <w:rFonts w:ascii="Times New Roman" w:hAnsi="Times New Roman" w:eastAsia="宋体" w:cs="Times New Roman"/>
                <w:sz w:val="24"/>
                <w:szCs w:val="24"/>
              </w:rPr>
              <w:t>25%</w:t>
            </w:r>
            <w:r>
              <w:rPr>
                <w:rFonts w:ascii="Times New Roman" w:hAnsi="宋体" w:eastAsia="宋体" w:cs="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673" w:type="dxa"/>
            <w:vMerge w:val="continue"/>
            <w:shd w:val="clear" w:color="auto" w:fill="D9D9D9"/>
          </w:tcPr>
          <w:p>
            <w:pPr>
              <w:spacing w:line="500" w:lineRule="exact"/>
              <w:rPr>
                <w:rFonts w:ascii="Times New Roman" w:hAnsi="Times New Roman" w:eastAsia="宋体" w:cs="Times New Roman"/>
                <w:sz w:val="24"/>
                <w:szCs w:val="24"/>
              </w:rPr>
            </w:pPr>
          </w:p>
        </w:tc>
        <w:tc>
          <w:tcPr>
            <w:tcW w:w="6804" w:type="dxa"/>
            <w:gridSpan w:val="2"/>
          </w:tcPr>
          <w:p>
            <w:pPr>
              <w:spacing w:before="156" w:beforeLines="50" w:after="156" w:afterLines="50" w:line="400" w:lineRule="exact"/>
              <w:rPr>
                <w:rFonts w:ascii="Times New Roman" w:hAnsi="Times New Roman" w:eastAsia="宋体" w:cs="Times New Roman"/>
                <w:sz w:val="24"/>
                <w:szCs w:val="24"/>
              </w:rPr>
            </w:pPr>
            <w:r>
              <w:rPr>
                <w:rFonts w:ascii="Times New Roman" w:hAnsi="Times New Roman" w:eastAsia="宋体" w:cs="Times New Roman"/>
                <w:sz w:val="36"/>
                <w:szCs w:val="36"/>
              </w:rPr>
              <w:t>□</w:t>
            </w:r>
            <w:r>
              <w:rPr>
                <w:rFonts w:ascii="Times New Roman" w:hAnsi="Times New Roman" w:eastAsia="宋体" w:cs="Times New Roman"/>
                <w:sz w:val="24"/>
                <w:szCs w:val="24"/>
              </w:rPr>
              <w:t>4</w:t>
            </w:r>
            <w:r>
              <w:rPr>
                <w:rFonts w:ascii="Times New Roman" w:hAnsi="宋体" w:eastAsia="宋体" w:cs="Times New Roman"/>
                <w:sz w:val="24"/>
                <w:szCs w:val="24"/>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673" w:type="dxa"/>
            <w:vMerge w:val="continue"/>
            <w:shd w:val="clear" w:color="auto" w:fill="D9D9D9"/>
          </w:tcPr>
          <w:p>
            <w:pPr>
              <w:spacing w:line="500" w:lineRule="exact"/>
              <w:rPr>
                <w:rFonts w:ascii="Times New Roman" w:hAnsi="Times New Roman" w:eastAsia="宋体" w:cs="Times New Roman"/>
                <w:sz w:val="24"/>
                <w:szCs w:val="24"/>
              </w:rPr>
            </w:pPr>
          </w:p>
        </w:tc>
        <w:tc>
          <w:tcPr>
            <w:tcW w:w="6804" w:type="dxa"/>
            <w:gridSpan w:val="2"/>
          </w:tcPr>
          <w:p>
            <w:pPr>
              <w:spacing w:before="156" w:beforeLines="50" w:after="156" w:afterLines="50" w:line="400" w:lineRule="exact"/>
              <w:rPr>
                <w:rFonts w:ascii="Times New Roman" w:hAnsi="Times New Roman" w:eastAsia="宋体" w:cs="Times New Roman"/>
                <w:sz w:val="24"/>
                <w:szCs w:val="24"/>
              </w:rPr>
            </w:pPr>
            <w:r>
              <w:rPr>
                <w:rFonts w:ascii="Times New Roman" w:hAnsi="Times New Roman" w:eastAsia="宋体" w:cs="Times New Roman"/>
                <w:sz w:val="36"/>
                <w:szCs w:val="36"/>
              </w:rPr>
              <w:t>□</w:t>
            </w:r>
            <w:r>
              <w:rPr>
                <w:rFonts w:ascii="Times New Roman" w:hAnsi="Times New Roman" w:eastAsia="宋体" w:cs="Times New Roman"/>
                <w:sz w:val="24"/>
                <w:szCs w:val="24"/>
              </w:rPr>
              <w:t>5</w:t>
            </w:r>
            <w:r>
              <w:rPr>
                <w:rFonts w:ascii="Times New Roman" w:hAnsi="宋体" w:eastAsia="宋体" w:cs="Times New Roman"/>
                <w:sz w:val="24"/>
                <w:szCs w:val="24"/>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673" w:type="dxa"/>
            <w:vMerge w:val="continue"/>
            <w:shd w:val="clear" w:color="auto" w:fill="D9D9D9"/>
          </w:tcPr>
          <w:p>
            <w:pPr>
              <w:spacing w:line="500" w:lineRule="exact"/>
              <w:rPr>
                <w:rFonts w:ascii="Times New Roman" w:hAnsi="Times New Roman" w:eastAsia="宋体" w:cs="Times New Roman"/>
                <w:sz w:val="24"/>
                <w:szCs w:val="24"/>
              </w:rPr>
            </w:pPr>
          </w:p>
        </w:tc>
        <w:tc>
          <w:tcPr>
            <w:tcW w:w="6804" w:type="dxa"/>
            <w:gridSpan w:val="2"/>
          </w:tcPr>
          <w:p>
            <w:pPr>
              <w:spacing w:before="156" w:beforeLines="50" w:after="156" w:afterLines="50" w:line="400" w:lineRule="exact"/>
              <w:rPr>
                <w:rFonts w:ascii="Times New Roman" w:hAnsi="Times New Roman" w:eastAsia="宋体" w:cs="Times New Roman"/>
                <w:sz w:val="24"/>
                <w:szCs w:val="24"/>
              </w:rPr>
            </w:pPr>
            <w:r>
              <w:rPr>
                <w:rFonts w:ascii="Times New Roman" w:hAnsi="Times New Roman" w:eastAsia="宋体" w:cs="Times New Roman"/>
                <w:sz w:val="36"/>
                <w:szCs w:val="36"/>
              </w:rPr>
              <w:t>□</w:t>
            </w:r>
            <w:r>
              <w:rPr>
                <w:rFonts w:ascii="Times New Roman" w:hAnsi="Times New Roman" w:eastAsia="宋体" w:cs="Times New Roman"/>
                <w:sz w:val="24"/>
                <w:szCs w:val="24"/>
              </w:rPr>
              <w:t>6</w:t>
            </w:r>
            <w:r>
              <w:rPr>
                <w:rFonts w:ascii="Times New Roman" w:hAnsi="宋体" w:eastAsia="宋体" w:cs="Times New Roman"/>
                <w:sz w:val="24"/>
                <w:szCs w:val="24"/>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73" w:type="dxa"/>
            <w:shd w:val="clear" w:color="auto" w:fill="D9D9D9"/>
            <w:vAlign w:val="center"/>
          </w:tcPr>
          <w:p>
            <w:pPr>
              <w:widowControl/>
              <w:snapToGrid w:val="0"/>
              <w:spacing w:before="156" w:beforeLines="50" w:after="156" w:afterLines="50" w:line="400" w:lineRule="exact"/>
              <w:jc w:val="center"/>
              <w:rPr>
                <w:rFonts w:ascii="Times New Roman" w:hAnsi="Times New Roman" w:eastAsia="宋体" w:cs="Times New Roman"/>
                <w:sz w:val="24"/>
                <w:szCs w:val="24"/>
              </w:rPr>
            </w:pPr>
            <w:r>
              <w:rPr>
                <w:rFonts w:ascii="Times New Roman" w:hAnsi="Times New Roman" w:eastAsia="宋体" w:cs="Times New Roman"/>
                <w:sz w:val="24"/>
                <w:szCs w:val="24"/>
              </w:rPr>
              <w:t>备注</w:t>
            </w:r>
          </w:p>
        </w:tc>
        <w:tc>
          <w:tcPr>
            <w:tcW w:w="6804" w:type="dxa"/>
            <w:gridSpan w:val="2"/>
          </w:tcPr>
          <w:p>
            <w:pPr>
              <w:spacing w:before="156" w:beforeLines="50" w:after="156" w:afterLines="50" w:line="400" w:lineRule="exact"/>
              <w:rPr>
                <w:rFonts w:ascii="Times New Roman" w:hAnsi="宋体" w:eastAsia="宋体" w:cs="Times New Roman"/>
                <w:sz w:val="24"/>
                <w:szCs w:val="24"/>
              </w:rPr>
            </w:pPr>
            <w:r>
              <w:rPr>
                <w:rFonts w:hint="eastAsia" w:ascii="Times New Roman" w:hAnsi="宋体" w:eastAsia="宋体" w:cs="Times New Roman"/>
                <w:sz w:val="24"/>
                <w:szCs w:val="24"/>
              </w:rPr>
              <w:t>本次交易涉及以下相关市场：</w:t>
            </w:r>
          </w:p>
          <w:p>
            <w:pPr>
              <w:spacing w:before="156" w:beforeLines="50" w:after="156" w:afterLines="50" w:line="400" w:lineRule="exact"/>
              <w:rPr>
                <w:rFonts w:ascii="Times New Roman" w:hAnsi="宋体" w:eastAsia="宋体" w:cs="Times New Roman"/>
                <w:sz w:val="24"/>
                <w:szCs w:val="24"/>
              </w:rPr>
            </w:pPr>
            <w:r>
              <w:rPr>
                <w:rFonts w:ascii="Times New Roman" w:hAnsi="宋体" w:eastAsia="宋体" w:cs="Times New Roman"/>
                <w:sz w:val="24"/>
                <w:szCs w:val="24"/>
              </w:rPr>
              <w:t>产品市场：</w:t>
            </w:r>
            <w:r>
              <w:rPr>
                <w:rFonts w:hint="eastAsia" w:ascii="Times New Roman" w:hAnsi="宋体" w:eastAsia="宋体" w:cs="Times New Roman"/>
                <w:sz w:val="24"/>
                <w:szCs w:val="24"/>
              </w:rPr>
              <w:t>通用仓库的开发及租赁</w:t>
            </w:r>
            <w:r>
              <w:rPr>
                <w:rFonts w:ascii="Times New Roman" w:hAnsi="宋体" w:eastAsia="宋体" w:cs="Times New Roman"/>
                <w:sz w:val="24"/>
                <w:szCs w:val="24"/>
              </w:rPr>
              <w:t>。</w:t>
            </w:r>
          </w:p>
          <w:p>
            <w:pPr>
              <w:spacing w:before="156" w:beforeLines="50" w:after="156" w:afterLines="50" w:line="400" w:lineRule="exact"/>
              <w:rPr>
                <w:rFonts w:ascii="Times New Roman" w:hAnsi="宋体" w:eastAsia="宋体" w:cs="Times New Roman"/>
                <w:sz w:val="24"/>
                <w:szCs w:val="24"/>
              </w:rPr>
            </w:pPr>
            <w:r>
              <w:rPr>
                <w:rFonts w:ascii="Times New Roman" w:hAnsi="宋体" w:eastAsia="宋体" w:cs="Times New Roman"/>
                <w:sz w:val="24"/>
                <w:szCs w:val="24"/>
              </w:rPr>
              <w:t>地域市场：</w:t>
            </w:r>
            <w:r>
              <w:rPr>
                <w:rFonts w:hint="eastAsia" w:ascii="Times New Roman" w:hAnsi="宋体" w:eastAsia="宋体" w:cs="Times New Roman"/>
                <w:sz w:val="24"/>
                <w:szCs w:val="24"/>
              </w:rPr>
              <w:t>西安市</w:t>
            </w:r>
            <w:r>
              <w:rPr>
                <w:rFonts w:ascii="Times New Roman" w:hAnsi="宋体" w:eastAsia="宋体" w:cs="Times New Roman"/>
                <w:sz w:val="24"/>
                <w:szCs w:val="24"/>
              </w:rPr>
              <w:t>。</w:t>
            </w:r>
          </w:p>
          <w:p>
            <w:pPr>
              <w:spacing w:before="156" w:beforeLines="50" w:after="156" w:afterLines="50" w:line="400" w:lineRule="exact"/>
              <w:rPr>
                <w:rFonts w:ascii="Times New Roman" w:hAnsi="Times New Roman" w:eastAsia="宋体" w:cs="Times New Roman"/>
                <w:sz w:val="24"/>
                <w:szCs w:val="24"/>
                <w:u w:val="single"/>
              </w:rPr>
            </w:pPr>
            <w:r>
              <w:rPr>
                <w:rFonts w:ascii="Times New Roman" w:hAnsi="宋体" w:eastAsia="宋体" w:cs="Times New Roman"/>
                <w:sz w:val="24"/>
                <w:szCs w:val="24"/>
              </w:rPr>
              <w:t>市场份额：普洛斯</w:t>
            </w:r>
            <w:r>
              <w:rPr>
                <w:rFonts w:hint="eastAsia" w:ascii="Times New Roman" w:hAnsi="宋体" w:eastAsia="宋体" w:cs="Times New Roman"/>
                <w:sz w:val="24"/>
                <w:szCs w:val="24"/>
              </w:rPr>
              <w:t>投资</w:t>
            </w:r>
            <w:r>
              <w:rPr>
                <w:rFonts w:ascii="Times New Roman" w:hAnsi="宋体" w:eastAsia="宋体" w:cs="Times New Roman"/>
                <w:sz w:val="24"/>
                <w:szCs w:val="24"/>
              </w:rPr>
              <w:t>公司</w:t>
            </w:r>
            <w:r>
              <w:rPr>
                <w:rFonts w:hint="eastAsia" w:ascii="Times New Roman" w:hAnsi="宋体" w:eastAsia="宋体" w:cs="Times New Roman"/>
                <w:sz w:val="24"/>
                <w:szCs w:val="24"/>
              </w:rPr>
              <w:t>及其</w:t>
            </w:r>
            <w:r>
              <w:rPr>
                <w:rFonts w:ascii="Times New Roman" w:hAnsi="宋体" w:eastAsia="宋体" w:cs="Times New Roman"/>
                <w:sz w:val="24"/>
                <w:szCs w:val="24"/>
              </w:rPr>
              <w:t>关联实体在</w:t>
            </w:r>
            <w:r>
              <w:rPr>
                <w:rFonts w:hint="eastAsia" w:ascii="Times New Roman" w:hAnsi="宋体" w:eastAsia="宋体" w:cs="Times New Roman"/>
                <w:sz w:val="24"/>
                <w:szCs w:val="24"/>
              </w:rPr>
              <w:t>相关市场的市场份额为7-12%。</w:t>
            </w:r>
            <w:bookmarkStart w:id="0" w:name="_GoBack"/>
            <w:bookmarkEnd w:id="0"/>
          </w:p>
        </w:tc>
      </w:tr>
    </w:tbl>
    <w:p>
      <w:pPr>
        <w:widowControl/>
        <w:shd w:val="clear" w:color="auto" w:fill="FFFFFF"/>
        <w:spacing w:line="375" w:lineRule="atLeast"/>
        <w:jc w:val="left"/>
        <w:rPr>
          <w:rFonts w:ascii="仿宋_GB2312" w:hAnsi="Times New Roman" w:eastAsia="仿宋_GB2312" w:cs="Times New Roman"/>
          <w:sz w:val="28"/>
          <w:szCs w:val="28"/>
        </w:rPr>
      </w:pPr>
    </w:p>
    <w:p>
      <w:pPr>
        <w:snapToGrid w:val="0"/>
        <w:spacing w:line="240" w:lineRule="exact"/>
        <w:rPr>
          <w:rFonts w:ascii="宋体" w:hAnsi="宋体" w:eastAsia="宋体" w:cs="Times New Roman"/>
          <w:sz w:val="24"/>
          <w:szCs w:val="24"/>
        </w:rPr>
      </w:pPr>
      <w:r>
        <w:rPr>
          <w:rFonts w:hint="eastAsia" w:ascii="宋体" w:hAnsi="宋体" w:eastAsia="宋体" w:cs="Times New Roman"/>
          <w:sz w:val="24"/>
          <w:szCs w:val="24"/>
        </w:rPr>
        <w:t>注解：</w:t>
      </w:r>
    </w:p>
    <w:p>
      <w:pPr>
        <w:snapToGrid w:val="0"/>
        <w:spacing w:line="360" w:lineRule="auto"/>
        <w:ind w:firstLine="480" w:firstLineChars="200"/>
        <w:rPr>
          <w:rFonts w:ascii="宋体" w:hAnsi="宋体" w:eastAsia="宋体" w:cs="Times New Roman"/>
          <w:sz w:val="24"/>
          <w:szCs w:val="24"/>
        </w:rPr>
      </w:pPr>
      <w:r>
        <w:rPr>
          <w:rFonts w:hint="eastAsia" w:ascii="宋体" w:hAnsi="宋体" w:eastAsia="宋体" w:cs="Times New Roman"/>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napToGrid w:val="0"/>
        <w:spacing w:line="360" w:lineRule="auto"/>
        <w:ind w:firstLine="480" w:firstLineChars="200"/>
        <w:rPr>
          <w:rFonts w:ascii="Times New Roman" w:hAnsi="Times New Roman"/>
          <w:b/>
          <w:bCs/>
          <w:sz w:val="24"/>
          <w:szCs w:val="24"/>
        </w:rPr>
      </w:pPr>
      <w:r>
        <w:rPr>
          <w:rFonts w:ascii="宋体" w:hAnsi="宋体" w:eastAsia="宋体" w:cs="Times New Roman"/>
          <w:sz w:val="24"/>
          <w:szCs w:val="24"/>
        </w:rPr>
        <w:t>2、申报方申请简易案件的理由是基于第4项、第5项时，无须在备注中说明相关市场和市场份额。</w:t>
      </w:r>
      <w:r>
        <w:rPr>
          <w:rFonts w:ascii="宋体" w:hAnsi="宋体" w:eastAsia="宋体" w:cs="Times New Roman"/>
          <w:sz w:val="24"/>
          <w:szCs w:val="24"/>
        </w:rPr>
        <w:br w:type="textWrapping"/>
      </w:r>
      <w:r>
        <w:rPr>
          <w:rFonts w:ascii="宋体" w:hAnsi="宋体" w:eastAsia="宋体" w:cs="Times New Roman"/>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modern"/>
    <w:pitch w:val="default"/>
    <w:sig w:usb0="800002BF" w:usb1="38CF7CFA" w:usb2="00000016" w:usb3="00000000" w:csb0="00040001" w:csb1="00000000"/>
  </w:font>
  <w:font w:name="等线">
    <w:altName w:val="Arial Unicode MS"/>
    <w:panose1 w:val="02010600030101010101"/>
    <w:charset w:val="86"/>
    <w:family w:val="auto"/>
    <w:pitch w:val="default"/>
    <w:sig w:usb0="00000000" w:usb1="00000000"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FCB"/>
    <w:rsid w:val="0005584E"/>
    <w:rsid w:val="000715B5"/>
    <w:rsid w:val="000B2CE3"/>
    <w:rsid w:val="001C7BD5"/>
    <w:rsid w:val="00376BC2"/>
    <w:rsid w:val="00480EA7"/>
    <w:rsid w:val="004C7A36"/>
    <w:rsid w:val="004F6BEB"/>
    <w:rsid w:val="0051468E"/>
    <w:rsid w:val="00607237"/>
    <w:rsid w:val="0062006A"/>
    <w:rsid w:val="008C197F"/>
    <w:rsid w:val="00A12FCB"/>
    <w:rsid w:val="00A173BC"/>
    <w:rsid w:val="00BB7541"/>
    <w:rsid w:val="00C032BF"/>
    <w:rsid w:val="00C33BFD"/>
    <w:rsid w:val="00FA110E"/>
    <w:rsid w:val="26D13ED8"/>
    <w:rsid w:val="78CB4C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楷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5">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7">
    <w:name w:val="网格型1"/>
    <w:basedOn w:val="5"/>
    <w:uiPriority w:val="5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8">
    <w:name w:val="页眉 字符"/>
    <w:basedOn w:val="4"/>
    <w:link w:val="3"/>
    <w:qFormat/>
    <w:uiPriority w:val="99"/>
    <w:rPr>
      <w:rFonts w:asciiTheme="minorHAnsi" w:hAnsiTheme="minorHAnsi" w:eastAsiaTheme="minorEastAsia" w:cstheme="minorBidi"/>
      <w:kern w:val="2"/>
      <w:sz w:val="18"/>
      <w:szCs w:val="18"/>
    </w:rPr>
  </w:style>
  <w:style w:type="character" w:customStyle="1" w:styleId="9">
    <w:name w:val="页脚 字符"/>
    <w:basedOn w:val="4"/>
    <w:link w:val="2"/>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204</Words>
  <Characters>1167</Characters>
  <Lines>9</Lines>
  <Paragraphs>2</Paragraphs>
  <TotalTime>28</TotalTime>
  <ScaleCrop>false</ScaleCrop>
  <LinksUpToDate>false</LinksUpToDate>
  <CharactersWithSpaces>1369</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2019-10-28T08:57:00Z</dcterms:created>
  <dc:creator>AB</dc:creator>
  <cp:lastModifiedBy>user</cp:lastModifiedBy>
  <dcterms:modified xsi:type="dcterms:W3CDTF">2020-02-06T09:10:16Z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