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616F" w:rsidRDefault="00CD398B" w:rsidP="006C1240">
      <w:pPr>
        <w:spacing w:line="440" w:lineRule="exact"/>
        <w:ind w:leftChars="100" w:left="210"/>
        <w:jc w:val="center"/>
        <w:rPr>
          <w:rFonts w:ascii="Times New Roman" w:eastAsiaTheme="majorEastAsia" w:hAnsi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/>
          <w:b/>
          <w:bCs/>
          <w:sz w:val="24"/>
          <w:szCs w:val="24"/>
        </w:rPr>
        <w:t>经营者集中简易案件公示表</w:t>
      </w:r>
    </w:p>
    <w:p w:rsidR="0012616F" w:rsidRDefault="0012616F">
      <w:pPr>
        <w:spacing w:line="440" w:lineRule="exact"/>
        <w:rPr>
          <w:rFonts w:ascii="Times New Roman" w:eastAsiaTheme="majorEastAsia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2616F">
        <w:trPr>
          <w:trHeight w:val="670"/>
        </w:trPr>
        <w:tc>
          <w:tcPr>
            <w:tcW w:w="1809" w:type="dxa"/>
            <w:shd w:val="clear" w:color="auto" w:fill="D9D9D9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12616F" w:rsidRDefault="00CD398B">
            <w:pPr>
              <w:rPr>
                <w:rFonts w:ascii="Times New Roman" w:eastAsiaTheme="majorEastAsia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丰田金融服务公司</w:t>
            </w:r>
            <w:r>
              <w:rPr>
                <w:rFonts w:ascii="Times New Roman" w:eastAsiaTheme="majorEastAsia" w:hAnsi="Times New Roman" w:hint="eastAsia"/>
                <w:kern w:val="0"/>
                <w:sz w:val="24"/>
                <w:szCs w:val="24"/>
              </w:rPr>
              <w:t>与</w:t>
            </w:r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三井物产株式会社新设合营企业案</w:t>
            </w:r>
          </w:p>
        </w:tc>
      </w:tr>
      <w:tr w:rsidR="0012616F">
        <w:trPr>
          <w:trHeight w:val="1826"/>
        </w:trPr>
        <w:tc>
          <w:tcPr>
            <w:tcW w:w="1809" w:type="dxa"/>
            <w:shd w:val="clear" w:color="auto" w:fill="D9D9D9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交易概况（限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200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12616F" w:rsidRDefault="00CD398B">
            <w:pPr>
              <w:spacing w:beforeLines="50" w:before="156" w:afterLines="50" w:after="156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拟议交易涉及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交易双方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在巴西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新设一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家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合营企业。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该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合营企业将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仅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在巴西从事汽车租赁服务、汽车共享服务和多式联运服务。</w:t>
            </w:r>
          </w:p>
          <w:p w:rsidR="0012616F" w:rsidRDefault="00CD398B">
            <w:pPr>
              <w:spacing w:beforeLines="50" w:before="156" w:afterLines="50" w:after="156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交易之后，丰田金融将持有合营企业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51%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的股份，而三井物产将持有合营企业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49%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的股份。</w:t>
            </w:r>
          </w:p>
        </w:tc>
      </w:tr>
      <w:tr w:rsidR="0012616F">
        <w:trPr>
          <w:trHeight w:val="1203"/>
        </w:trPr>
        <w:tc>
          <w:tcPr>
            <w:tcW w:w="1809" w:type="dxa"/>
            <w:vMerge w:val="restart"/>
            <w:shd w:val="clear" w:color="auto" w:fill="D9D9D9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12616F" w:rsidRDefault="00CD398B">
            <w:pPr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1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、丰田金融</w:t>
            </w:r>
          </w:p>
        </w:tc>
        <w:tc>
          <w:tcPr>
            <w:tcW w:w="5153" w:type="dxa"/>
            <w:vAlign w:val="center"/>
          </w:tcPr>
          <w:p w:rsidR="0012616F" w:rsidRDefault="00CD398B">
            <w:pPr>
              <w:widowControl/>
              <w:snapToGrid w:val="0"/>
              <w:jc w:val="left"/>
              <w:rPr>
                <w:rFonts w:ascii="Times New Roman" w:eastAsiaTheme="majorEastAsia" w:hAnsi="Times New Roman"/>
                <w:bCs/>
                <w:kern w:val="0"/>
                <w:sz w:val="24"/>
                <w:szCs w:val="24"/>
              </w:rPr>
            </w:pPr>
            <w:bookmarkStart w:id="0" w:name="_Hlk32181117"/>
            <w:r>
              <w:rPr>
                <w:rFonts w:ascii="Times New Roman" w:eastAsiaTheme="majorEastAsia" w:hAnsi="Times New Roman"/>
                <w:bCs/>
                <w:kern w:val="0"/>
                <w:sz w:val="24"/>
                <w:szCs w:val="24"/>
              </w:rPr>
              <w:t>丰田金融是一家控股公司，通过其子公司为个人和企业提供汽车销售融资和租赁服务。丰田金融提供一系列金融服务，包括汽车销售融资、信用卡和保险服务。</w:t>
            </w:r>
          </w:p>
          <w:bookmarkEnd w:id="0"/>
          <w:p w:rsidR="0012616F" w:rsidRDefault="0012616F">
            <w:pPr>
              <w:widowControl/>
              <w:snapToGrid w:val="0"/>
              <w:rPr>
                <w:rFonts w:ascii="Times New Roman" w:eastAsiaTheme="majorEastAsia" w:hAnsi="Times New Roman"/>
                <w:sz w:val="24"/>
                <w:szCs w:val="24"/>
                <w:lang w:bidi="ar"/>
              </w:rPr>
            </w:pPr>
          </w:p>
        </w:tc>
      </w:tr>
      <w:tr w:rsidR="0012616F">
        <w:trPr>
          <w:trHeight w:val="1255"/>
        </w:trPr>
        <w:tc>
          <w:tcPr>
            <w:tcW w:w="1809" w:type="dxa"/>
            <w:vMerge/>
            <w:shd w:val="clear" w:color="auto" w:fill="D9D9D9"/>
          </w:tcPr>
          <w:p w:rsidR="0012616F" w:rsidRDefault="0012616F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12616F" w:rsidRDefault="00CD398B">
            <w:pPr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2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、</w:t>
            </w:r>
            <w:r w:rsidR="006C1240">
              <w:rPr>
                <w:rFonts w:ascii="Times New Roman" w:eastAsiaTheme="majorEastAsia" w:hAnsi="Times New Roman" w:hint="eastAsia"/>
                <w:sz w:val="24"/>
                <w:szCs w:val="24"/>
              </w:rPr>
              <w:t>三井物产</w:t>
            </w:r>
            <w:bookmarkStart w:id="1" w:name="_GoBack"/>
            <w:bookmarkEnd w:id="1"/>
          </w:p>
        </w:tc>
        <w:tc>
          <w:tcPr>
            <w:tcW w:w="5153" w:type="dxa"/>
            <w:vAlign w:val="center"/>
          </w:tcPr>
          <w:p w:rsidR="0012616F" w:rsidRDefault="00CD398B">
            <w:pPr>
              <w:rPr>
                <w:rFonts w:ascii="Times New Roman" w:eastAsiaTheme="majorEastAsia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三井物产是一家在全球范围内从事商品交易和其他业务的日本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上市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贸易公司，其业务内容包括销售、分销、采购、营销和供应如下业务领域的产品：钢铁、煤炭、有色金属、机械、电子产品、化学品和能源相关商品等。</w:t>
            </w:r>
          </w:p>
        </w:tc>
      </w:tr>
      <w:tr w:rsidR="0012616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□1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15%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12616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12616F" w:rsidRDefault="0012616F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□2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25%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12616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12616F" w:rsidRDefault="0012616F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□3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25%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12616F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12616F" w:rsidRDefault="0012616F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4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12616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12616F" w:rsidRDefault="0012616F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□5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12616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12616F" w:rsidRDefault="0012616F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□6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12616F">
        <w:tc>
          <w:tcPr>
            <w:tcW w:w="1809" w:type="dxa"/>
            <w:shd w:val="clear" w:color="auto" w:fill="D9D9D9"/>
          </w:tcPr>
          <w:p w:rsidR="0012616F" w:rsidRDefault="00CD398B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12616F" w:rsidRDefault="00CD398B">
            <w:pPr>
              <w:snapToGrid w:val="0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color w:val="000000" w:themeColor="text1"/>
                <w:sz w:val="24"/>
                <w:szCs w:val="24"/>
              </w:rPr>
              <w:t>不适用</w:t>
            </w:r>
          </w:p>
        </w:tc>
      </w:tr>
    </w:tbl>
    <w:p w:rsidR="0012616F" w:rsidRDefault="0012616F">
      <w:pPr>
        <w:snapToGrid w:val="0"/>
        <w:spacing w:line="240" w:lineRule="exact"/>
        <w:jc w:val="left"/>
        <w:rPr>
          <w:rFonts w:ascii="Times New Roman" w:eastAsiaTheme="majorEastAsia" w:hAnsi="Times New Roman"/>
          <w:sz w:val="24"/>
          <w:szCs w:val="24"/>
        </w:rPr>
      </w:pPr>
    </w:p>
    <w:p w:rsidR="0012616F" w:rsidRDefault="00CD398B">
      <w:pPr>
        <w:snapToGrid w:val="0"/>
        <w:spacing w:line="240" w:lineRule="exact"/>
        <w:jc w:val="left"/>
        <w:rPr>
          <w:rFonts w:ascii="Times New Roman" w:eastAsiaTheme="majorEastAsia" w:hAnsi="Times New Roman"/>
          <w:sz w:val="24"/>
          <w:szCs w:val="24"/>
        </w:rPr>
      </w:pPr>
      <w:r>
        <w:rPr>
          <w:rFonts w:ascii="Times New Roman" w:eastAsiaTheme="majorEastAsia" w:hAnsi="Times New Roman"/>
          <w:sz w:val="24"/>
          <w:szCs w:val="24"/>
        </w:rPr>
        <w:t>注解：</w:t>
      </w:r>
    </w:p>
    <w:p w:rsidR="0012616F" w:rsidRDefault="00CD398B">
      <w:pPr>
        <w:snapToGrid w:val="0"/>
        <w:spacing w:line="360" w:lineRule="auto"/>
        <w:ind w:firstLineChars="200" w:firstLine="480"/>
        <w:jc w:val="left"/>
        <w:rPr>
          <w:rFonts w:ascii="Times New Roman" w:eastAsiaTheme="majorEastAsia" w:hAnsi="Times New Roman"/>
          <w:sz w:val="24"/>
          <w:szCs w:val="24"/>
        </w:rPr>
      </w:pPr>
      <w:r>
        <w:rPr>
          <w:rFonts w:ascii="Times New Roman" w:eastAsiaTheme="majorEastAsia" w:hAnsi="Times New Roman"/>
          <w:sz w:val="24"/>
          <w:szCs w:val="24"/>
        </w:rPr>
        <w:t>1</w:t>
      </w:r>
      <w:r>
        <w:rPr>
          <w:rFonts w:ascii="Times New Roman" w:eastAsiaTheme="majorEastAsia" w:hAnsi="Times New Roman"/>
          <w:sz w:val="24"/>
          <w:szCs w:val="24"/>
        </w:rPr>
        <w:t>、申报方申请简易案件的理由是基于</w:t>
      </w:r>
      <w:r>
        <w:rPr>
          <w:rFonts w:ascii="Times New Roman" w:eastAsiaTheme="majorEastAsia" w:hAnsi="Times New Roman"/>
          <w:sz w:val="24"/>
          <w:szCs w:val="24"/>
        </w:rPr>
        <w:t>1-3</w:t>
      </w:r>
      <w:r>
        <w:rPr>
          <w:rFonts w:ascii="Times New Roman" w:eastAsiaTheme="majorEastAsia" w:hAnsi="Times New Roman"/>
          <w:sz w:val="24"/>
          <w:szCs w:val="24"/>
        </w:rPr>
        <w:t>项时，须在备注中说明界定的相</w:t>
      </w:r>
      <w:r>
        <w:rPr>
          <w:rFonts w:ascii="Times New Roman" w:eastAsiaTheme="majorEastAsia" w:hAnsi="Times New Roman"/>
          <w:sz w:val="24"/>
          <w:szCs w:val="24"/>
        </w:rPr>
        <w:lastRenderedPageBreak/>
        <w:t>关商品市场和相关地域市场（无须阐述界定理由），以及相关市场份额；市场份额可以区间形式提供，区间幅度不应超过</w:t>
      </w:r>
      <w:r>
        <w:rPr>
          <w:rFonts w:ascii="Times New Roman" w:eastAsiaTheme="majorEastAsia" w:hAnsi="Times New Roman"/>
          <w:sz w:val="24"/>
          <w:szCs w:val="24"/>
        </w:rPr>
        <w:t>5%</w:t>
      </w:r>
      <w:r>
        <w:rPr>
          <w:rFonts w:ascii="Times New Roman" w:eastAsiaTheme="majorEastAsia" w:hAnsi="Times New Roman"/>
          <w:sz w:val="24"/>
          <w:szCs w:val="24"/>
        </w:rPr>
        <w:t>。</w:t>
      </w:r>
      <w:r>
        <w:rPr>
          <w:rFonts w:ascii="Times New Roman" w:eastAsiaTheme="majorEastAsia" w:hAnsi="Times New Roman"/>
          <w:sz w:val="24"/>
          <w:szCs w:val="24"/>
        </w:rPr>
        <w:t>1-3</w:t>
      </w:r>
      <w:r>
        <w:rPr>
          <w:rFonts w:ascii="Times New Roman" w:eastAsiaTheme="majorEastAsia" w:hAnsi="Times New Roman"/>
          <w:sz w:val="24"/>
          <w:szCs w:val="24"/>
        </w:rPr>
        <w:t>项可以多选，也可单选；没有勾选的，视为本集中不涉及该类型交易。</w:t>
      </w:r>
    </w:p>
    <w:p w:rsidR="0012616F" w:rsidRDefault="00CD398B">
      <w:pPr>
        <w:spacing w:line="360" w:lineRule="auto"/>
        <w:ind w:firstLineChars="200" w:firstLine="480"/>
        <w:rPr>
          <w:rFonts w:ascii="Times New Roman" w:eastAsiaTheme="majorEastAsia" w:hAnsi="Times New Roman"/>
          <w:sz w:val="24"/>
          <w:szCs w:val="24"/>
        </w:rPr>
      </w:pPr>
      <w:r>
        <w:rPr>
          <w:rFonts w:ascii="Times New Roman" w:eastAsiaTheme="majorEastAsia" w:hAnsi="Times New Roman"/>
          <w:sz w:val="24"/>
          <w:szCs w:val="24"/>
        </w:rPr>
        <w:t>2</w:t>
      </w:r>
      <w:r>
        <w:rPr>
          <w:rFonts w:ascii="Times New Roman" w:eastAsiaTheme="majorEastAsia" w:hAnsi="Times New Roman"/>
          <w:sz w:val="24"/>
          <w:szCs w:val="24"/>
        </w:rPr>
        <w:t>、申报方申请简易案件的理由是基于第</w:t>
      </w:r>
      <w:r>
        <w:rPr>
          <w:rFonts w:ascii="Times New Roman" w:eastAsiaTheme="majorEastAsia" w:hAnsi="Times New Roman"/>
          <w:sz w:val="24"/>
          <w:szCs w:val="24"/>
        </w:rPr>
        <w:t>4</w:t>
      </w:r>
      <w:r>
        <w:rPr>
          <w:rFonts w:ascii="Times New Roman" w:eastAsiaTheme="majorEastAsia" w:hAnsi="Times New Roman"/>
          <w:sz w:val="24"/>
          <w:szCs w:val="24"/>
        </w:rPr>
        <w:t>项、第</w:t>
      </w:r>
      <w:r>
        <w:rPr>
          <w:rFonts w:ascii="Times New Roman" w:eastAsiaTheme="majorEastAsia" w:hAnsi="Times New Roman"/>
          <w:sz w:val="24"/>
          <w:szCs w:val="24"/>
        </w:rPr>
        <w:t>5</w:t>
      </w:r>
      <w:r>
        <w:rPr>
          <w:rFonts w:ascii="Times New Roman" w:eastAsiaTheme="majorEastAsia" w:hAnsi="Times New Roman"/>
          <w:sz w:val="24"/>
          <w:szCs w:val="24"/>
        </w:rPr>
        <w:t>项时，无须在备注中说明相关市场和市场份额。</w:t>
      </w:r>
      <w:r>
        <w:rPr>
          <w:rFonts w:ascii="Times New Roman" w:eastAsiaTheme="majorEastAsia" w:hAnsi="Times New Roman"/>
          <w:sz w:val="24"/>
          <w:szCs w:val="24"/>
        </w:rPr>
        <w:br/>
        <w:t xml:space="preserve">    3</w:t>
      </w:r>
      <w:r>
        <w:rPr>
          <w:rFonts w:ascii="Times New Roman" w:eastAsiaTheme="majorEastAsia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>
        <w:rPr>
          <w:rFonts w:ascii="Times New Roman" w:eastAsiaTheme="majorEastAsia" w:hAnsi="Times New Roman"/>
          <w:sz w:val="24"/>
          <w:szCs w:val="24"/>
        </w:rPr>
        <w:t>1</w:t>
      </w:r>
      <w:r>
        <w:rPr>
          <w:rFonts w:ascii="Times New Roman" w:eastAsiaTheme="majorEastAsia" w:hAnsi="Times New Roman"/>
          <w:sz w:val="24"/>
          <w:szCs w:val="24"/>
        </w:rPr>
        <w:t>项和第</w:t>
      </w:r>
      <w:r>
        <w:rPr>
          <w:rFonts w:ascii="Times New Roman" w:eastAsiaTheme="majorEastAsia" w:hAnsi="Times New Roman"/>
          <w:sz w:val="24"/>
          <w:szCs w:val="24"/>
        </w:rPr>
        <w:t>6</w:t>
      </w:r>
      <w:r>
        <w:rPr>
          <w:rFonts w:ascii="Times New Roman" w:eastAsiaTheme="majorEastAsia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Times New Roman" w:eastAsiaTheme="majorEastAsia" w:hAnsi="Times New Roman"/>
          <w:sz w:val="24"/>
          <w:szCs w:val="24"/>
        </w:rPr>
        <w:t>5%</w:t>
      </w:r>
      <w:r>
        <w:rPr>
          <w:rFonts w:ascii="Times New Roman" w:eastAsiaTheme="majorEastAsia" w:hAnsi="Times New Roman"/>
          <w:sz w:val="24"/>
          <w:szCs w:val="24"/>
        </w:rPr>
        <w:t>。</w:t>
      </w:r>
    </w:p>
    <w:p w:rsidR="0012616F" w:rsidRDefault="0012616F">
      <w:pPr>
        <w:rPr>
          <w:rFonts w:ascii="Times New Roman" w:eastAsiaTheme="majorEastAsia" w:hAnsi="Times New Roman"/>
          <w:sz w:val="24"/>
          <w:szCs w:val="24"/>
        </w:rPr>
      </w:pPr>
    </w:p>
    <w:sectPr w:rsidR="001261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398B" w:rsidRDefault="00CD398B">
      <w:r>
        <w:separator/>
      </w:r>
    </w:p>
  </w:endnote>
  <w:endnote w:type="continuationSeparator" w:id="0">
    <w:p w:rsidR="00CD398B" w:rsidRDefault="00CD3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398B" w:rsidRDefault="00CD398B">
      <w:r>
        <w:separator/>
      </w:r>
    </w:p>
  </w:footnote>
  <w:footnote w:type="continuationSeparator" w:id="0">
    <w:p w:rsidR="00CD398B" w:rsidRDefault="00CD39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2D43634"/>
    <w:multiLevelType w:val="singleLevel"/>
    <w:tmpl w:val="A2D4363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doNotTrackFormatting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NjUzMDMGQlNDCyUdpeDU4uLM/DyQAvNaAAtrTTcsAAAA"/>
  </w:docVars>
  <w:rsids>
    <w:rsidRoot w:val="0012616F"/>
    <w:rsid w:val="0012616F"/>
    <w:rsid w:val="006C1240"/>
    <w:rsid w:val="00CD39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8F292"/>
  <w15:docId w15:val="{1D300C24-F668-499C-BB3A-52552E7B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28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 w:qFormat="1"/>
    <w:lsdException w:name="Table Grid" w:uiPriority="59" w:qFormat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endnote text"/>
    <w:basedOn w:val="a"/>
    <w:link w:val="a8"/>
    <w:uiPriority w:val="99"/>
    <w:semiHidden/>
    <w:unhideWhenUsed/>
    <w:qFormat/>
    <w:pPr>
      <w:snapToGrid w:val="0"/>
      <w:jc w:val="left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note text"/>
    <w:basedOn w:val="a"/>
    <w:uiPriority w:val="99"/>
    <w:qFormat/>
    <w:pPr>
      <w:snapToGrid w:val="0"/>
      <w:jc w:val="left"/>
    </w:pPr>
    <w:rPr>
      <w:sz w:val="18"/>
      <w:szCs w:val="18"/>
    </w:rPr>
  </w:style>
  <w:style w:type="character" w:styleId="af0">
    <w:name w:val="endnote reference"/>
    <w:uiPriority w:val="99"/>
    <w:semiHidden/>
    <w:unhideWhenUsed/>
    <w:qFormat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2">
    <w:name w:val="footnote reference"/>
    <w:uiPriority w:val="28"/>
    <w:qFormat/>
    <w:rPr>
      <w:vertAlign w:val="superscript"/>
    </w:rPr>
  </w:style>
  <w:style w:type="table" w:styleId="af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尾注文本 字符"/>
    <w:basedOn w:val="a0"/>
    <w:link w:val="a7"/>
    <w:uiPriority w:val="99"/>
    <w:semiHidden/>
    <w:qFormat/>
  </w:style>
  <w:style w:type="character" w:customStyle="1" w:styleId="ae">
    <w:name w:val="页眉 字符"/>
    <w:link w:val="ad"/>
    <w:uiPriority w:val="99"/>
    <w:qFormat/>
    <w:rPr>
      <w:sz w:val="18"/>
      <w:szCs w:val="18"/>
    </w:rPr>
  </w:style>
  <w:style w:type="character" w:customStyle="1" w:styleId="ac">
    <w:name w:val="页脚 字符"/>
    <w:link w:val="ab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kern w:val="2"/>
      <w:sz w:val="21"/>
      <w:szCs w:val="22"/>
      <w:lang w:val="en-US" w:bidi="ar-SA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kern w:val="2"/>
      <w:sz w:val="21"/>
      <w:szCs w:val="22"/>
      <w:lang w:val="en-US" w:bidi="ar-SA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kern w:val="2"/>
      <w:sz w:val="18"/>
      <w:szCs w:val="18"/>
      <w:lang w:val="en-US" w:bidi="ar-SA"/>
    </w:rPr>
  </w:style>
  <w:style w:type="character" w:styleId="af4">
    <w:name w:val="Hyperlink"/>
    <w:basedOn w:val="a0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1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0ED93F-C576-46F4-9EBF-FF5DEF062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147</Words>
  <Characters>844</Characters>
  <Application>Microsoft Office Word</Application>
  <DocSecurity>0</DocSecurity>
  <Lines>7</Lines>
  <Paragraphs>1</Paragraphs>
  <ScaleCrop>false</ScaleCrop>
  <Company>http://www.deepbbs.org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T&amp;D Associates</cp:lastModifiedBy>
  <cp:revision>29</cp:revision>
  <cp:lastPrinted>2014-10-08T02:48:00Z</cp:lastPrinted>
  <dcterms:created xsi:type="dcterms:W3CDTF">2018-05-30T14:39:00Z</dcterms:created>
  <dcterms:modified xsi:type="dcterms:W3CDTF">2020-02-18T01:37:00Z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A36122288</vt:lpwstr>
  </property>
  <property fmtid="{D5CDD505-2E9C-101B-9397-08002B2CF9AE}" pid="3" name="Version">
    <vt:lpwstr>0.7</vt:lpwstr>
  </property>
  <property fmtid="{D5CDD505-2E9C-101B-9397-08002B2CF9AE}" pid="4" name="Last Modified">
    <vt:lpwstr>19 Mar 2018</vt:lpwstr>
  </property>
  <property fmtid="{D5CDD505-2E9C-101B-9397-08002B2CF9AE}" pid="5" name="Matter Number">
    <vt:lpwstr>L-269343</vt:lpwstr>
  </property>
  <property fmtid="{D5CDD505-2E9C-101B-9397-08002B2CF9AE}" pid="6" name="Client Code">
    <vt:lpwstr>10253201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C:\Users\aqlee\AppData\Local\Linklaters\DocExplorer\Attachments\180320_Ladder_Final Simple Case Publicity Form_CHN.docx</vt:lpwstr>
  </property>
  <property fmtid="{D5CDD505-2E9C-101B-9397-08002B2CF9AE}" pid="9" name="ObjectID">
    <vt:lpwstr>09001dc891a1b8db</vt:lpwstr>
  </property>
  <property fmtid="{D5CDD505-2E9C-101B-9397-08002B2CF9AE}" pid="10" name="KSOProductBuildVer">
    <vt:lpwstr>2052-10.1.0.7469</vt:lpwstr>
  </property>
</Properties>
</file>