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45A86" w14:textId="77777777" w:rsidR="008E1952" w:rsidRDefault="00CD3307">
      <w:pPr>
        <w:spacing w:line="440" w:lineRule="exact"/>
        <w:jc w:val="center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经营者集中简易案件公示表</w:t>
      </w:r>
    </w:p>
    <w:p w14:paraId="6DA45A87" w14:textId="77777777" w:rsidR="008E1952" w:rsidRDefault="008E1952">
      <w:pPr>
        <w:spacing w:line="440" w:lineRule="exact"/>
        <w:rPr>
          <w:rFonts w:ascii="宋体" w:hAnsi="宋体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8E1952" w14:paraId="6DA45A8A" w14:textId="77777777">
        <w:trPr>
          <w:trHeight w:val="670"/>
        </w:trPr>
        <w:tc>
          <w:tcPr>
            <w:tcW w:w="1809" w:type="dxa"/>
            <w:shd w:val="clear" w:color="auto" w:fill="D9D9D9"/>
          </w:tcPr>
          <w:p w14:paraId="6DA45A88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6DA45A89" w14:textId="77777777" w:rsidR="008E1952" w:rsidRDefault="00CD3307">
            <w:pPr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三菱重工业株式会社收购三菱日立电力系统株式会社股权案</w:t>
            </w:r>
          </w:p>
        </w:tc>
      </w:tr>
      <w:tr w:rsidR="008E1952" w14:paraId="6DA45A8D" w14:textId="77777777">
        <w:trPr>
          <w:trHeight w:val="1826"/>
        </w:trPr>
        <w:tc>
          <w:tcPr>
            <w:tcW w:w="1809" w:type="dxa"/>
            <w:shd w:val="clear" w:color="auto" w:fill="D9D9D9"/>
          </w:tcPr>
          <w:p w14:paraId="6DA45A8B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交易概况（限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6DA45A8C" w14:textId="77777777" w:rsidR="008E1952" w:rsidRDefault="00CD3307">
            <w:pPr>
              <w:widowControl/>
              <w:snapToGrid w:val="0"/>
              <w:spacing w:after="240"/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三菱重工业株式会社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（“三菱重工”）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与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株式会社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日立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制作所（“日立”）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达成合意，日立将其持有的三菱日立电力系统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株式会社（“三菱日立”）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的股权转让给三菱重工。股权转让后，三菱重工将获得对三菱日立的</w:t>
            </w:r>
            <w:r>
              <w:rPr>
                <w:rFonts w:ascii="Times New Roman" w:eastAsiaTheme="majorEastAsia" w:hAnsi="Times New Roman" w:hint="eastAsia"/>
                <w:sz w:val="24"/>
                <w:szCs w:val="24"/>
              </w:rPr>
              <w:t>单独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控制权。</w:t>
            </w:r>
          </w:p>
        </w:tc>
      </w:tr>
      <w:tr w:rsidR="008E1952" w14:paraId="6DA45A91" w14:textId="77777777">
        <w:trPr>
          <w:trHeight w:val="1203"/>
        </w:trPr>
        <w:tc>
          <w:tcPr>
            <w:tcW w:w="1809" w:type="dxa"/>
            <w:vMerge w:val="restart"/>
            <w:shd w:val="clear" w:color="auto" w:fill="D9D9D9"/>
          </w:tcPr>
          <w:p w14:paraId="6DA45A8E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6DA45A8F" w14:textId="77777777" w:rsidR="008E1952" w:rsidRDefault="00CD3307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1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、三菱重工</w:t>
            </w:r>
          </w:p>
        </w:tc>
        <w:tc>
          <w:tcPr>
            <w:tcW w:w="5153" w:type="dxa"/>
            <w:vAlign w:val="center"/>
          </w:tcPr>
          <w:p w14:paraId="6DA45A90" w14:textId="77777777" w:rsidR="008E1952" w:rsidRDefault="00CD3307">
            <w:pPr>
              <w:widowControl/>
              <w:snapToGrid w:val="0"/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三菱重工是一家日本跨国公司，</w:t>
            </w:r>
            <w:r>
              <w:rPr>
                <w:rFonts w:ascii="Times New Roman" w:eastAsiaTheme="majorEastAsia" w:hAnsi="Times New Roman" w:hint="eastAsia"/>
                <w:bCs/>
                <w:sz w:val="24"/>
                <w:szCs w:val="24"/>
              </w:rPr>
              <w:t>业务涉及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工程、</w:t>
            </w:r>
            <w:r>
              <w:rPr>
                <w:rFonts w:ascii="Times New Roman" w:eastAsiaTheme="majorEastAsia" w:hAnsi="Times New Roman" w:hint="eastAsia"/>
                <w:bCs/>
                <w:sz w:val="24"/>
                <w:szCs w:val="24"/>
              </w:rPr>
              <w:t>基础设施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和</w:t>
            </w:r>
            <w:r>
              <w:rPr>
                <w:rFonts w:ascii="Times New Roman" w:eastAsiaTheme="majorEastAsia" w:hAnsi="Times New Roman" w:hint="eastAsia"/>
                <w:bCs/>
                <w:sz w:val="24"/>
                <w:szCs w:val="24"/>
              </w:rPr>
              <w:t>机械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领域，总部位于日本东京。作为母公司，三菱重工有一系列子公司、关联公司在全球从事重工业机械供应业务。</w:t>
            </w:r>
          </w:p>
        </w:tc>
      </w:tr>
      <w:tr w:rsidR="008E1952" w14:paraId="6DA45A96" w14:textId="77777777">
        <w:trPr>
          <w:trHeight w:val="1255"/>
        </w:trPr>
        <w:tc>
          <w:tcPr>
            <w:tcW w:w="1809" w:type="dxa"/>
            <w:vMerge/>
            <w:shd w:val="clear" w:color="auto" w:fill="D9D9D9"/>
          </w:tcPr>
          <w:p w14:paraId="6DA45A92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DA45A93" w14:textId="77777777" w:rsidR="008E1952" w:rsidRDefault="00CD3307">
            <w:pPr>
              <w:rPr>
                <w:rFonts w:ascii="Times New Roman" w:eastAsiaTheme="majorEastAsia" w:hAnsi="Times New Roman"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sz w:val="24"/>
                <w:szCs w:val="24"/>
              </w:rPr>
              <w:t>2</w:t>
            </w:r>
            <w:r>
              <w:rPr>
                <w:rFonts w:ascii="Times New Roman" w:eastAsiaTheme="majorEastAsia" w:hAnsi="Times New Roman"/>
                <w:sz w:val="24"/>
                <w:szCs w:val="24"/>
              </w:rPr>
              <w:t>、三菱日立</w:t>
            </w:r>
          </w:p>
        </w:tc>
        <w:tc>
          <w:tcPr>
            <w:tcW w:w="5153" w:type="dxa"/>
            <w:vAlign w:val="center"/>
          </w:tcPr>
          <w:p w14:paraId="6DA45A94" w14:textId="77777777" w:rsidR="008E1952" w:rsidRDefault="00CD3307">
            <w:pPr>
              <w:rPr>
                <w:rFonts w:ascii="Times New Roman" w:eastAsiaTheme="majorEastAsia" w:hAnsi="Times New Roman"/>
                <w:bCs/>
                <w:sz w:val="24"/>
                <w:szCs w:val="24"/>
              </w:rPr>
            </w:pP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2014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年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月，三菱日立吸收合并了三菱重工和日立的火力发电业务。</w:t>
            </w:r>
          </w:p>
          <w:p w14:paraId="6DA45A95" w14:textId="77777777" w:rsidR="008E1952" w:rsidRDefault="00CD3307">
            <w:pPr>
              <w:rPr>
                <w:rFonts w:ascii="Times New Roman" w:eastAsiaTheme="majorEastAsia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三菱日立提供针对不同应用和规模的发电</w:t>
            </w:r>
            <w:r>
              <w:rPr>
                <w:rFonts w:ascii="Times New Roman" w:eastAsiaTheme="majorEastAsia" w:hAnsi="Times New Roman" w:hint="eastAsia"/>
                <w:bCs/>
                <w:sz w:val="24"/>
                <w:szCs w:val="24"/>
              </w:rPr>
              <w:t>设备</w:t>
            </w:r>
            <w:r>
              <w:rPr>
                <w:rFonts w:ascii="Times New Roman" w:eastAsiaTheme="majorEastAsia" w:hAnsi="Times New Roman"/>
                <w:bCs/>
                <w:sz w:val="24"/>
                <w:szCs w:val="24"/>
              </w:rPr>
              <w:t>。</w:t>
            </w:r>
          </w:p>
        </w:tc>
      </w:tr>
      <w:tr w:rsidR="008E1952" w14:paraId="6DA45A99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DA45A97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DA45A98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8E1952" w14:paraId="6DA45A9C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DA45A9A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A45A9B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8E1952" w14:paraId="6DA45A9F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6DA45A9D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A45A9E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8E1952" w14:paraId="6DA45AA2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DA45AA0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A45AA1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E1952" w14:paraId="6DA45AA5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DA45AA3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A45AA4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E1952" w14:paraId="6DA45AA8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6DA45AA6" w14:textId="77777777" w:rsidR="008E1952" w:rsidRDefault="008E1952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A45AA7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6</w:t>
            </w: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8E1952" w14:paraId="6DA45AAB" w14:textId="77777777">
        <w:tc>
          <w:tcPr>
            <w:tcW w:w="1809" w:type="dxa"/>
            <w:shd w:val="clear" w:color="auto" w:fill="D9D9D9"/>
          </w:tcPr>
          <w:p w14:paraId="6DA45AA9" w14:textId="77777777" w:rsidR="008E1952" w:rsidRDefault="00CD3307">
            <w:pPr>
              <w:spacing w:line="500" w:lineRule="exac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 w:themeColor="text1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af3"/>
              <w:tblW w:w="671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231"/>
              <w:gridCol w:w="2126"/>
              <w:gridCol w:w="2353"/>
            </w:tblGrid>
            <w:tr w:rsidR="00CD3307" w:rsidRPr="00365828" w14:paraId="45CF2CAD" w14:textId="77777777" w:rsidTr="00CD3307">
              <w:trPr>
                <w:jc w:val="center"/>
              </w:trPr>
              <w:tc>
                <w:tcPr>
                  <w:tcW w:w="2231" w:type="dxa"/>
                </w:tcPr>
                <w:p w14:paraId="20A9E028" w14:textId="2E2B5FAC" w:rsidR="00CD3307" w:rsidRPr="00365828" w:rsidRDefault="00CD3307" w:rsidP="00CD3307">
                  <w:pPr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</w:rPr>
                    <w:t>相关产品市场</w:t>
                  </w:r>
                </w:p>
              </w:tc>
              <w:tc>
                <w:tcPr>
                  <w:tcW w:w="2126" w:type="dxa"/>
                </w:tcPr>
                <w:p w14:paraId="30092EA2" w14:textId="7A55DE4B" w:rsidR="00CD3307" w:rsidRPr="00365828" w:rsidRDefault="00CD3307" w:rsidP="00CD3307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</w:rPr>
                    <w:t>相关地域市场</w:t>
                  </w:r>
                </w:p>
              </w:tc>
              <w:tc>
                <w:tcPr>
                  <w:tcW w:w="2353" w:type="dxa"/>
                </w:tcPr>
                <w:p w14:paraId="6B4EB6FE" w14:textId="44354F36" w:rsidR="00CD3307" w:rsidRPr="00365828" w:rsidRDefault="00CD3307" w:rsidP="00CD3307">
                  <w:pPr>
                    <w:jc w:val="center"/>
                    <w:rPr>
                      <w:rFonts w:ascii="Times New Roman" w:hAnsi="Times New Roman"/>
                      <w:b/>
                      <w:bCs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</w:rPr>
                    <w:t>市场份额</w:t>
                  </w:r>
                </w:p>
              </w:tc>
            </w:tr>
            <w:tr w:rsidR="00CD3307" w14:paraId="5AA475A5" w14:textId="77777777" w:rsidTr="00CD3307">
              <w:trPr>
                <w:trHeight w:val="594"/>
                <w:jc w:val="center"/>
              </w:trPr>
              <w:tc>
                <w:tcPr>
                  <w:tcW w:w="2231" w:type="dxa"/>
                </w:tcPr>
                <w:p w14:paraId="37F1D32C" w14:textId="4AA33255" w:rsidR="00CD3307" w:rsidRDefault="00CD3307" w:rsidP="00CD33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</w:rPr>
                    <w:t>大型燃气轮机</w:t>
                  </w:r>
                  <w:r w:rsidR="00920942" w:rsidRPr="00D57503">
                    <w:t>（功率大于</w:t>
                  </w:r>
                  <w:r w:rsidR="00920942" w:rsidRPr="00D57503">
                    <w:t>100</w:t>
                  </w:r>
                  <w:r w:rsidR="00920942" w:rsidRPr="00D57503">
                    <w:t>兆瓦）</w:t>
                  </w:r>
                </w:p>
              </w:tc>
              <w:tc>
                <w:tcPr>
                  <w:tcW w:w="2126" w:type="dxa"/>
                  <w:vMerge w:val="restart"/>
                </w:tcPr>
                <w:p w14:paraId="533F0F28" w14:textId="122F0120" w:rsidR="00CD3307" w:rsidRDefault="00CD3307" w:rsidP="00CD3307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</w:rPr>
                    <w:t>国别（中国）市场</w:t>
                  </w:r>
                </w:p>
              </w:tc>
              <w:tc>
                <w:tcPr>
                  <w:tcW w:w="2353" w:type="dxa"/>
                </w:tcPr>
                <w:p w14:paraId="35355902" w14:textId="69529776" w:rsidR="00CD3307" w:rsidRDefault="00CD3307" w:rsidP="00CD3307">
                  <w:pPr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三菱日立：</w:t>
                  </w:r>
                  <w:r>
                    <w:rPr>
                      <w:rFonts w:ascii="Times New Roman" w:hAnsi="Times New Roman"/>
                      <w:szCs w:val="21"/>
                    </w:rPr>
                    <w:t>30-35%</w:t>
                  </w:r>
                </w:p>
              </w:tc>
            </w:tr>
            <w:tr w:rsidR="00CD3307" w14:paraId="1557D0BF" w14:textId="77777777" w:rsidTr="00CD3307">
              <w:trPr>
                <w:trHeight w:val="701"/>
                <w:jc w:val="center"/>
              </w:trPr>
              <w:tc>
                <w:tcPr>
                  <w:tcW w:w="2231" w:type="dxa"/>
                </w:tcPr>
                <w:p w14:paraId="72422590" w14:textId="7FE3AA76" w:rsidR="00CD3307" w:rsidRDefault="00CD3307" w:rsidP="00CD3307">
                  <w:pPr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 w:hint="eastAsia"/>
                    </w:rPr>
                    <w:t>中小型燃气轮机</w:t>
                  </w:r>
                  <w:r w:rsidR="00920942" w:rsidRPr="00D57503">
                    <w:t>（功率等于或小于</w:t>
                  </w:r>
                  <w:r w:rsidR="00920942" w:rsidRPr="00D57503">
                    <w:t>100</w:t>
                  </w:r>
                  <w:r w:rsidR="00920942" w:rsidRPr="00D57503">
                    <w:t>兆瓦）</w:t>
                  </w:r>
                </w:p>
              </w:tc>
              <w:tc>
                <w:tcPr>
                  <w:tcW w:w="2126" w:type="dxa"/>
                  <w:vMerge/>
                </w:tcPr>
                <w:p w14:paraId="6EA7F15B" w14:textId="77777777" w:rsidR="00CD3307" w:rsidRDefault="00CD3307" w:rsidP="00CD3307">
                  <w:pPr>
                    <w:jc w:val="center"/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2353" w:type="dxa"/>
                </w:tcPr>
                <w:p w14:paraId="3BE32D90" w14:textId="42C7DEBC" w:rsidR="00CD3307" w:rsidRDefault="00CD3307" w:rsidP="00CD3307">
                  <w:pPr>
                    <w:jc w:val="center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 w:hint="eastAsia"/>
                      <w:szCs w:val="21"/>
                    </w:rPr>
                    <w:t>三菱日立：</w:t>
                  </w:r>
                  <w:r w:rsidR="003D2D2F">
                    <w:rPr>
                      <w:rFonts w:ascii="Times New Roman" w:hAnsi="Times New Roman"/>
                      <w:szCs w:val="21"/>
                    </w:rPr>
                    <w:t>0</w:t>
                  </w:r>
                  <w:r w:rsidR="003D2D2F">
                    <w:rPr>
                      <w:rFonts w:ascii="Times New Roman" w:hAnsi="Times New Roman" w:hint="eastAsia"/>
                      <w:szCs w:val="21"/>
                    </w:rPr>
                    <w:t>-</w:t>
                  </w:r>
                  <w:r w:rsidR="003D2D2F">
                    <w:rPr>
                      <w:rFonts w:ascii="Times New Roman" w:hAnsi="Times New Roman"/>
                      <w:szCs w:val="21"/>
                    </w:rPr>
                    <w:t>5</w:t>
                  </w:r>
                  <w:r>
                    <w:rPr>
                      <w:rFonts w:ascii="Times New Roman" w:hAnsi="Times New Roman"/>
                      <w:szCs w:val="21"/>
                    </w:rPr>
                    <w:t>%</w:t>
                  </w:r>
                </w:p>
              </w:tc>
            </w:tr>
          </w:tbl>
          <w:p w14:paraId="6DA45AAA" w14:textId="77777777" w:rsidR="008E1952" w:rsidRDefault="008E1952">
            <w:pPr>
              <w:snapToGrid w:val="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DA45AAC" w14:textId="77777777" w:rsidR="008E1952" w:rsidRDefault="008E1952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bookmarkStart w:id="0" w:name="_GoBack"/>
      <w:bookmarkEnd w:id="0"/>
    </w:p>
    <w:p w14:paraId="6DA45AAD" w14:textId="77777777" w:rsidR="008E1952" w:rsidRDefault="00CD3307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注解：</w:t>
      </w:r>
    </w:p>
    <w:p w14:paraId="6DA45AAE" w14:textId="77777777" w:rsidR="008E1952" w:rsidRDefault="00CD3307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6DA45AAF" w14:textId="77777777" w:rsidR="008E1952" w:rsidRDefault="00CD3307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宋体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6DA45AB0" w14:textId="77777777" w:rsidR="008E1952" w:rsidRDefault="008E1952">
      <w:pPr>
        <w:rPr>
          <w:rFonts w:ascii="宋体" w:hAnsi="宋体"/>
          <w:sz w:val="24"/>
          <w:szCs w:val="24"/>
        </w:rPr>
      </w:pPr>
    </w:p>
    <w:sectPr w:rsidR="008E19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E879A7" w14:textId="77777777" w:rsidR="00FB7F10" w:rsidRDefault="00FB7F10">
      <w:r>
        <w:separator/>
      </w:r>
    </w:p>
  </w:endnote>
  <w:endnote w:type="continuationSeparator" w:id="0">
    <w:p w14:paraId="0CD15E03" w14:textId="77777777" w:rsidR="00FB7F10" w:rsidRDefault="00FB7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EFB33B" w14:textId="77777777" w:rsidR="00FB7F10" w:rsidRDefault="00FB7F10">
      <w:r>
        <w:separator/>
      </w:r>
    </w:p>
  </w:footnote>
  <w:footnote w:type="continuationSeparator" w:id="0">
    <w:p w14:paraId="05BE59EA" w14:textId="77777777" w:rsidR="00FB7F10" w:rsidRDefault="00FB7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2D43634"/>
    <w:multiLevelType w:val="singleLevel"/>
    <w:tmpl w:val="A2D4363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NjUzMDMGQlNDCyUdpeDU4uLM/DyQApNaAMg4YBwsAAAA"/>
  </w:docVars>
  <w:rsids>
    <w:rsidRoot w:val="008E1952"/>
    <w:rsid w:val="003D2D2F"/>
    <w:rsid w:val="00891220"/>
    <w:rsid w:val="008E1952"/>
    <w:rsid w:val="00920942"/>
    <w:rsid w:val="00CD3307"/>
    <w:rsid w:val="00DE1483"/>
    <w:rsid w:val="00FB7F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45A86"/>
  <w15:docId w15:val="{1D300C24-F668-499C-BB3A-52552E7B1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28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  <w:jc w:val="left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footnote text"/>
    <w:basedOn w:val="a"/>
    <w:uiPriority w:val="99"/>
    <w:qFormat/>
    <w:pPr>
      <w:snapToGrid w:val="0"/>
      <w:jc w:val="left"/>
    </w:pPr>
    <w:rPr>
      <w:sz w:val="18"/>
      <w:szCs w:val="18"/>
    </w:rPr>
  </w:style>
  <w:style w:type="character" w:styleId="af0">
    <w:name w:val="endnote reference"/>
    <w:uiPriority w:val="99"/>
    <w:semiHidden/>
    <w:unhideWhenUsed/>
    <w:qFormat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2">
    <w:name w:val="footnote reference"/>
    <w:uiPriority w:val="28"/>
    <w:qFormat/>
    <w:rPr>
      <w:vertAlign w:val="superscript"/>
    </w:rPr>
  </w:style>
  <w:style w:type="table" w:styleId="af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尾注文本 字符"/>
    <w:basedOn w:val="a0"/>
    <w:link w:val="a7"/>
    <w:uiPriority w:val="99"/>
    <w:semiHidden/>
    <w:qFormat/>
  </w:style>
  <w:style w:type="character" w:customStyle="1" w:styleId="ae">
    <w:name w:val="页眉 字符"/>
    <w:link w:val="ad"/>
    <w:uiPriority w:val="99"/>
    <w:qFormat/>
    <w:rPr>
      <w:sz w:val="18"/>
      <w:szCs w:val="18"/>
    </w:rPr>
  </w:style>
  <w:style w:type="character" w:customStyle="1" w:styleId="ac">
    <w:name w:val="页脚 字符"/>
    <w:link w:val="ab"/>
    <w:uiPriority w:val="99"/>
    <w:qFormat/>
    <w:rPr>
      <w:sz w:val="18"/>
      <w:szCs w:val="18"/>
    </w:rPr>
  </w:style>
  <w:style w:type="character" w:customStyle="1" w:styleId="a6">
    <w:name w:val="批注文字 字符"/>
    <w:basedOn w:val="a0"/>
    <w:link w:val="a4"/>
    <w:uiPriority w:val="99"/>
    <w:semiHidden/>
    <w:qFormat/>
    <w:rPr>
      <w:kern w:val="2"/>
      <w:sz w:val="21"/>
      <w:szCs w:val="22"/>
      <w:lang w:val="en-US" w:bidi="ar-SA"/>
    </w:rPr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  <w:kern w:val="2"/>
      <w:sz w:val="21"/>
      <w:szCs w:val="22"/>
      <w:lang w:val="en-US" w:bidi="ar-SA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kern w:val="2"/>
      <w:sz w:val="18"/>
      <w:szCs w:val="18"/>
      <w:lang w:val="en-US" w:bidi="ar-SA"/>
    </w:rPr>
  </w:style>
  <w:style w:type="character" w:styleId="af4">
    <w:name w:val="Hyperlink"/>
    <w:basedOn w:val="a0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B2EC5A-1D70-4EF4-A895-EAB9372D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895</Characters>
  <Application>Microsoft Office Word</Application>
  <DocSecurity>0</DocSecurity>
  <Lines>7</Lines>
  <Paragraphs>2</Paragraphs>
  <ScaleCrop>false</ScaleCrop>
  <Company>http://www.deepbbs.org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T&amp;D Associates</cp:lastModifiedBy>
  <cp:revision>23</cp:revision>
  <cp:lastPrinted>2014-10-08T02:48:00Z</cp:lastPrinted>
  <dcterms:created xsi:type="dcterms:W3CDTF">2018-05-30T14:39:00Z</dcterms:created>
  <dcterms:modified xsi:type="dcterms:W3CDTF">2020-03-10T05:13:00Z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A36122288</vt:lpwstr>
  </property>
  <property fmtid="{D5CDD505-2E9C-101B-9397-08002B2CF9AE}" pid="3" name="Version">
    <vt:lpwstr>0.7</vt:lpwstr>
  </property>
  <property fmtid="{D5CDD505-2E9C-101B-9397-08002B2CF9AE}" pid="4" name="Last Modified">
    <vt:lpwstr>19 Mar 2018</vt:lpwstr>
  </property>
  <property fmtid="{D5CDD505-2E9C-101B-9397-08002B2CF9AE}" pid="5" name="Matter Number">
    <vt:lpwstr>L-269343</vt:lpwstr>
  </property>
  <property fmtid="{D5CDD505-2E9C-101B-9397-08002B2CF9AE}" pid="6" name="Client Code">
    <vt:lpwstr>10253201</vt:lpwstr>
  </property>
  <property fmtid="{D5CDD505-2E9C-101B-9397-08002B2CF9AE}" pid="7" name="Mode">
    <vt:lpwstr>SendAs</vt:lpwstr>
  </property>
  <property fmtid="{D5CDD505-2E9C-101B-9397-08002B2CF9AE}" pid="8" name="DEDocumentLocation">
    <vt:lpwstr>C:\Users\aqlee\AppData\Local\Linklaters\DocExplorer\Attachments\180320_Ladder_Final Simple Case Publicity Form_CHN.docx</vt:lpwstr>
  </property>
  <property fmtid="{D5CDD505-2E9C-101B-9397-08002B2CF9AE}" pid="9" name="ObjectID">
    <vt:lpwstr>09001dc891a1b8db</vt:lpwstr>
  </property>
  <property fmtid="{D5CDD505-2E9C-101B-9397-08002B2CF9AE}" pid="10" name="KSOProductBuildVer">
    <vt:lpwstr>2052-10.1.0.7469</vt:lpwstr>
  </property>
</Properties>
</file>