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rPr>
      </w:pPr>
      <w:bookmarkStart w:id="0" w:name="_GoBack"/>
      <w:bookmarkEnd w:id="0"/>
      <w:r>
        <w:rPr>
          <w:rFonts w:ascii="Times New Roman" w:hAnsi="Times New Roman" w:cs="Times New Roman"/>
          <w:b/>
        </w:rPr>
        <w:t>经营者集中简易案件公示表</w:t>
      </w:r>
    </w:p>
    <w:tbl>
      <w:tblPr>
        <w:tblStyle w:val="10"/>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0" w:hRule="atLeast"/>
        </w:trPr>
        <w:tc>
          <w:tcPr>
            <w:tcW w:w="1809" w:type="dxa"/>
            <w:shd w:val="clear" w:color="auto" w:fill="D9D9D9"/>
            <w:vAlign w:val="center"/>
          </w:tcPr>
          <w:p>
            <w:pPr>
              <w:rPr>
                <w:rFonts w:ascii="Times New Roman" w:hAnsi="Times New Roman" w:cs="Times New Roman"/>
                <w:b/>
              </w:rPr>
            </w:pPr>
            <w:r>
              <w:rPr>
                <w:rFonts w:hint="eastAsia" w:ascii="Times New Roman" w:hAnsi="Times New Roman" w:cs="Times New Roman"/>
                <w:b/>
              </w:rPr>
              <w:t>案件名称</w:t>
            </w:r>
          </w:p>
        </w:tc>
        <w:tc>
          <w:tcPr>
            <w:tcW w:w="6949" w:type="dxa"/>
            <w:gridSpan w:val="2"/>
            <w:vAlign w:val="center"/>
          </w:tcPr>
          <w:p>
            <w:pPr>
              <w:snapToGrid w:val="0"/>
              <w:spacing w:after="0" w:line="240" w:lineRule="auto"/>
              <w:jc w:val="both"/>
              <w:rPr>
                <w:rFonts w:eastAsiaTheme="majorEastAsia"/>
                <w:szCs w:val="21"/>
              </w:rPr>
            </w:pPr>
            <w:r>
              <w:rPr>
                <w:rFonts w:hint="eastAsia"/>
                <w:szCs w:val="21"/>
              </w:rPr>
              <w:t>深圳顺丰泰森控股（集团）有限公司与中信资本控股有限公司</w:t>
            </w:r>
            <w:r>
              <w:rPr>
                <w:szCs w:val="21"/>
              </w:rPr>
              <w:t>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96" w:hRule="atLeast"/>
        </w:trPr>
        <w:tc>
          <w:tcPr>
            <w:tcW w:w="1809" w:type="dxa"/>
            <w:shd w:val="clear" w:color="auto" w:fill="D9D9D9"/>
            <w:vAlign w:val="center"/>
          </w:tcPr>
          <w:p>
            <w:pPr>
              <w:rPr>
                <w:rFonts w:ascii="Times New Roman" w:hAnsi="Times New Roman" w:cs="Times New Roman"/>
                <w:b/>
              </w:rPr>
            </w:pPr>
            <w:r>
              <w:rPr>
                <w:rFonts w:ascii="Times New Roman" w:hAnsi="Times New Roman" w:cs="Times New Roman"/>
                <w:b/>
              </w:rPr>
              <w:t>交易概况（限200字内）</w:t>
            </w:r>
          </w:p>
        </w:tc>
        <w:tc>
          <w:tcPr>
            <w:tcW w:w="6949" w:type="dxa"/>
            <w:gridSpan w:val="2"/>
            <w:vAlign w:val="center"/>
          </w:tcPr>
          <w:p>
            <w:pPr>
              <w:spacing w:after="0" w:line="240" w:lineRule="auto"/>
              <w:jc w:val="both"/>
              <w:rPr>
                <w:rFonts w:eastAsiaTheme="majorEastAsia"/>
              </w:rPr>
            </w:pPr>
            <w:r>
              <w:rPr>
                <w:rFonts w:hint="eastAsia"/>
                <w:szCs w:val="21"/>
              </w:rPr>
              <w:t>深圳顺丰泰森控股（集团）有限公司（</w:t>
            </w:r>
            <w:r>
              <w:rPr>
                <w:rFonts w:hint="eastAsia" w:eastAsiaTheme="majorEastAsia"/>
              </w:rPr>
              <w:t>“</w:t>
            </w:r>
            <w:r>
              <w:rPr>
                <w:rFonts w:hint="eastAsia" w:eastAsiaTheme="majorEastAsia"/>
                <w:b/>
              </w:rPr>
              <w:t>顺丰泰森</w:t>
            </w:r>
            <w:r>
              <w:rPr>
                <w:rFonts w:hint="eastAsia" w:eastAsiaTheme="majorEastAsia"/>
              </w:rPr>
              <w:t>”）和</w:t>
            </w:r>
            <w:r>
              <w:rPr>
                <w:rFonts w:hint="eastAsia"/>
                <w:szCs w:val="21"/>
              </w:rPr>
              <w:t>中信资本控股有限公司（“</w:t>
            </w:r>
            <w:r>
              <w:rPr>
                <w:rFonts w:hint="eastAsia"/>
                <w:b/>
                <w:szCs w:val="21"/>
              </w:rPr>
              <w:t>中信资本</w:t>
            </w:r>
            <w:r>
              <w:rPr>
                <w:rFonts w:hint="eastAsia"/>
                <w:szCs w:val="21"/>
              </w:rPr>
              <w:t>”）</w:t>
            </w:r>
            <w:r>
              <w:rPr>
                <w:rFonts w:hint="eastAsia"/>
              </w:rPr>
              <w:t>拟设立一家由双方共同控制的合营企业以进行物流地产项目的融资和投资</w:t>
            </w:r>
            <w:r>
              <w:rPr>
                <w:rFonts w:hint="eastAsia" w:eastAsiaTheme="majorEastAsia"/>
              </w:rPr>
              <w:t>。合营企业设立初始拟投资收购目前由顺丰集团单独控制的9个在建物流园区项目。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28" w:hRule="atLeast"/>
        </w:trPr>
        <w:tc>
          <w:tcPr>
            <w:tcW w:w="1809" w:type="dxa"/>
            <w:vMerge w:val="restart"/>
            <w:shd w:val="clear" w:color="auto" w:fill="D9D9D9"/>
            <w:vAlign w:val="center"/>
          </w:tcPr>
          <w:p>
            <w:pPr>
              <w:rPr>
                <w:rFonts w:ascii="Times New Roman" w:hAnsi="Times New Roman" w:cs="Times New Roman"/>
                <w:b/>
              </w:rPr>
            </w:pPr>
            <w:r>
              <w:rPr>
                <w:rFonts w:ascii="Times New Roman" w:hAnsi="Times New Roman" w:cs="Times New Roman"/>
                <w:b/>
              </w:rPr>
              <w:t>参与集中的经营者简介</w:t>
            </w:r>
          </w:p>
        </w:tc>
        <w:tc>
          <w:tcPr>
            <w:tcW w:w="1796" w:type="dxa"/>
            <w:vAlign w:val="center"/>
          </w:tcPr>
          <w:p>
            <w:pPr>
              <w:spacing w:after="0" w:line="240" w:lineRule="auto"/>
              <w:jc w:val="both"/>
              <w:rPr>
                <w:rFonts w:ascii="Times New Roman" w:hAnsi="Times New Roman" w:cs="Times New Roman"/>
              </w:rPr>
            </w:pPr>
            <w:r>
              <w:rPr>
                <w:rFonts w:hint="eastAsia" w:ascii="Times New Roman" w:hAnsi="Times New Roman" w:cs="Times New Roman"/>
              </w:rPr>
              <w:t>1、顺丰泰森</w:t>
            </w:r>
          </w:p>
        </w:tc>
        <w:tc>
          <w:tcPr>
            <w:tcW w:w="5153" w:type="dxa"/>
            <w:vAlign w:val="center"/>
          </w:tcPr>
          <w:p>
            <w:pPr>
              <w:snapToGrid w:val="0"/>
              <w:spacing w:after="0" w:line="240" w:lineRule="auto"/>
              <w:jc w:val="both"/>
              <w:rPr>
                <w:rFonts w:ascii="Times New Roman" w:hAnsi="Times New Roman"/>
                <w:kern w:val="2"/>
                <w:sz w:val="21"/>
                <w:szCs w:val="21"/>
              </w:rPr>
            </w:pPr>
            <w:r>
              <w:rPr>
                <w:szCs w:val="21"/>
              </w:rPr>
              <w:t>顺丰泰森</w:t>
            </w:r>
            <w:r>
              <w:rPr>
                <w:rFonts w:hint="eastAsia"/>
                <w:szCs w:val="21"/>
              </w:rPr>
              <w:t>所在的</w:t>
            </w:r>
            <w:r>
              <w:rPr>
                <w:rFonts w:hint="eastAsia"/>
              </w:rPr>
              <w:t>顺丰集团是国内领先的快递物流综合服务商，其主营业务包括（1）时效快递、经济快递、同城配送、仓储服务、国际快递等多种快递服务，（2）物流普运、重货快运等重货运输服务，以及（3）为食品和医药领域的客户提供冷链运输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83" w:hRule="atLeast"/>
        </w:trPr>
        <w:tc>
          <w:tcPr>
            <w:tcW w:w="1809" w:type="dxa"/>
            <w:vMerge w:val="continue"/>
            <w:shd w:val="clear" w:color="auto" w:fill="D9D9D9"/>
            <w:vAlign w:val="center"/>
          </w:tcPr>
          <w:p>
            <w:pPr>
              <w:rPr>
                <w:rFonts w:ascii="Times New Roman" w:hAnsi="Times New Roman" w:cs="Times New Roman"/>
                <w:b/>
              </w:rPr>
            </w:pPr>
          </w:p>
        </w:tc>
        <w:tc>
          <w:tcPr>
            <w:tcW w:w="1796" w:type="dxa"/>
            <w:vAlign w:val="center"/>
          </w:tcPr>
          <w:p>
            <w:pPr>
              <w:spacing w:after="0" w:line="240" w:lineRule="auto"/>
              <w:jc w:val="both"/>
              <w:rPr>
                <w:rFonts w:ascii="Times New Roman" w:hAnsi="Times New Roman" w:cs="Times New Roman"/>
              </w:rPr>
            </w:pPr>
            <w:r>
              <w:rPr>
                <w:rFonts w:hint="eastAsia" w:ascii="Times New Roman" w:hAnsi="Times New Roman" w:cs="Times New Roman"/>
              </w:rPr>
              <w:t>2、</w:t>
            </w:r>
            <w:r>
              <w:rPr>
                <w:rFonts w:hint="eastAsia" w:ascii="Times New Roman" w:hAnsi="Times New Roman" w:eastAsia="宋体" w:cs="Times New Roman"/>
                <w:szCs w:val="21"/>
              </w:rPr>
              <w:t>中信资本</w:t>
            </w:r>
          </w:p>
        </w:tc>
        <w:tc>
          <w:tcPr>
            <w:tcW w:w="5153" w:type="dxa"/>
            <w:vAlign w:val="center"/>
          </w:tcPr>
          <w:p>
            <w:pPr>
              <w:rPr>
                <w:rFonts w:ascii="Times New Roman" w:hAnsi="Times New Roman" w:eastAsia="宋体" w:cs="Times New Roman"/>
                <w:szCs w:val="21"/>
              </w:rPr>
            </w:pPr>
            <w:r>
              <w:rPr>
                <w:rFonts w:hint="eastAsia"/>
                <w:szCs w:val="21"/>
              </w:rPr>
              <w:t>中信资本是一家主攻另类投资的投资管理及顾问公司，主要业务包括私募股权投资、不动产投资、结构融资及资产管理。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rPr>
                <w:rFonts w:ascii="Times New Roman" w:hAnsi="Times New Roman" w:cs="Times New Roman"/>
                <w:b/>
              </w:rPr>
            </w:pPr>
            <w:r>
              <w:rPr>
                <w:rFonts w:ascii="Times New Roman" w:hAnsi="Times New Roman" w:cs="Times New Roman"/>
                <w:b/>
              </w:rPr>
              <w:t>简易案件理由（可以单选，也可以多选）</w:t>
            </w:r>
          </w:p>
        </w:tc>
        <w:tc>
          <w:tcPr>
            <w:tcW w:w="6949" w:type="dxa"/>
            <w:gridSpan w:val="2"/>
            <w:vAlign w:val="center"/>
          </w:tcPr>
          <w:p>
            <w:pPr>
              <w:spacing w:after="0" w:line="240" w:lineRule="auto"/>
              <w:jc w:val="both"/>
              <w:rPr>
                <w:rFonts w:ascii="Times New Roman" w:hAnsi="Times New Roman" w:cs="Times New Roman"/>
              </w:rPr>
            </w:pPr>
            <w:r>
              <w:rPr>
                <w:rFonts w:ascii="Times New Roman" w:hAnsi="Times New Roman" w:cs="Times New Roman"/>
                <w:bCs/>
              </w:rPr>
              <w:sym w:font="Wingdings" w:char="F0FE"/>
            </w:r>
            <w:r>
              <w:rPr>
                <w:rFonts w:hint="eastAsia" w:ascii="Times New Roman" w:hAnsi="Times New Roman" w:cs="Times New Roman"/>
                <w:bCs/>
              </w:rPr>
              <w:t xml:space="preserve"> </w:t>
            </w:r>
            <w:r>
              <w:rPr>
                <w:rFonts w:ascii="Times New Roman" w:hAnsi="Times New Roman" w:cs="Times New Roman"/>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rPr>
                <w:rFonts w:ascii="Times New Roman" w:hAnsi="Times New Roman" w:cs="Times New Roman"/>
              </w:rPr>
            </w:pPr>
          </w:p>
        </w:tc>
        <w:tc>
          <w:tcPr>
            <w:tcW w:w="6949" w:type="dxa"/>
            <w:gridSpan w:val="2"/>
            <w:vAlign w:val="center"/>
          </w:tcPr>
          <w:p>
            <w:pPr>
              <w:spacing w:after="0" w:line="240" w:lineRule="auto"/>
              <w:jc w:val="both"/>
              <w:rPr>
                <w:rFonts w:ascii="Times New Roman" w:hAnsi="Times New Roman" w:cs="Times New Roman"/>
              </w:rPr>
            </w:pPr>
            <w:r>
              <w:rPr>
                <w:rFonts w:ascii="Times New Roman" w:hAnsi="Times New Roman" w:cs="Times New Roman"/>
                <w:bCs/>
              </w:rPr>
              <w:sym w:font="Wingdings" w:char="F0FE"/>
            </w:r>
            <w:r>
              <w:rPr>
                <w:rFonts w:ascii="Times New Roman" w:hAnsi="Times New Roman" w:cs="Times New Roman"/>
                <w:bCs/>
              </w:rPr>
              <w:t xml:space="preserve"> </w:t>
            </w:r>
            <w:r>
              <w:rPr>
                <w:rFonts w:ascii="Times New Roman" w:hAnsi="Times New Roman" w:cs="Times New Roman"/>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rPr>
                <w:rFonts w:ascii="Times New Roman" w:hAnsi="Times New Roman" w:cs="Times New Roman"/>
              </w:rPr>
            </w:pPr>
          </w:p>
        </w:tc>
        <w:tc>
          <w:tcPr>
            <w:tcW w:w="6949" w:type="dxa"/>
            <w:gridSpan w:val="2"/>
            <w:vAlign w:val="center"/>
          </w:tcPr>
          <w:p>
            <w:pPr>
              <w:spacing w:after="0" w:line="240" w:lineRule="auto"/>
              <w:jc w:val="both"/>
              <w:rPr>
                <w:rFonts w:ascii="Times New Roman" w:hAnsi="Times New Roman" w:cs="Times New Roman"/>
              </w:rPr>
            </w:pPr>
            <w:r>
              <w:rPr>
                <w:rFonts w:ascii="Times New Roman" w:hAnsi="Times New Roman" w:cs="Times New Roman"/>
                <w:bCs/>
              </w:rPr>
              <w:sym w:font="Wingdings" w:char="F0A8"/>
            </w:r>
            <w:r>
              <w:rPr>
                <w:rFonts w:hint="eastAsia" w:ascii="Times New Roman" w:hAnsi="Times New Roman" w:cs="Times New Roman"/>
                <w:bCs/>
              </w:rPr>
              <w:t xml:space="preserve"> </w:t>
            </w:r>
            <w:r>
              <w:rPr>
                <w:rFonts w:ascii="Times New Roman" w:hAnsi="Times New Roman" w:cs="Times New Roman"/>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9" w:hRule="atLeast"/>
        </w:trPr>
        <w:tc>
          <w:tcPr>
            <w:tcW w:w="1809" w:type="dxa"/>
            <w:vMerge w:val="continue"/>
            <w:shd w:val="clear" w:color="auto" w:fill="D9D9D9"/>
            <w:vAlign w:val="center"/>
          </w:tcPr>
          <w:p>
            <w:pPr>
              <w:rPr>
                <w:rFonts w:ascii="Times New Roman" w:hAnsi="Times New Roman" w:cs="Times New Roman"/>
              </w:rPr>
            </w:pPr>
          </w:p>
        </w:tc>
        <w:tc>
          <w:tcPr>
            <w:tcW w:w="6949" w:type="dxa"/>
            <w:gridSpan w:val="2"/>
            <w:vAlign w:val="center"/>
          </w:tcPr>
          <w:p>
            <w:pPr>
              <w:spacing w:after="0" w:line="240" w:lineRule="auto"/>
              <w:jc w:val="both"/>
              <w:rPr>
                <w:rFonts w:ascii="Times New Roman" w:hAnsi="Times New Roman" w:cs="Times New Roman"/>
              </w:rPr>
            </w:pPr>
            <w:r>
              <w:rPr>
                <w:rFonts w:ascii="Times New Roman" w:hAnsi="Times New Roman" w:cs="Times New Roman"/>
                <w:bCs/>
              </w:rPr>
              <w:sym w:font="Wingdings" w:char="F0A8"/>
            </w:r>
            <w:r>
              <w:rPr>
                <w:rFonts w:ascii="Times New Roman" w:hAnsi="Times New Roman" w:cs="Times New Roman"/>
                <w:bCs/>
              </w:rPr>
              <w:t xml:space="preserve"> </w:t>
            </w:r>
            <w:r>
              <w:rPr>
                <w:rFonts w:ascii="Times New Roman" w:hAnsi="Times New Roman" w:cs="Times New Roman"/>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rPr>
                <w:rFonts w:ascii="Times New Roman" w:hAnsi="Times New Roman" w:cs="Times New Roman"/>
              </w:rPr>
            </w:pPr>
          </w:p>
        </w:tc>
        <w:tc>
          <w:tcPr>
            <w:tcW w:w="6949" w:type="dxa"/>
            <w:gridSpan w:val="2"/>
            <w:vAlign w:val="center"/>
          </w:tcPr>
          <w:p>
            <w:pPr>
              <w:spacing w:after="0" w:line="240" w:lineRule="auto"/>
              <w:jc w:val="both"/>
              <w:rPr>
                <w:rFonts w:ascii="Times New Roman" w:hAnsi="Times New Roman" w:cs="Times New Roman"/>
              </w:rPr>
            </w:pPr>
            <w:r>
              <w:rPr>
                <w:rFonts w:ascii="Times New Roman" w:hAnsi="Times New Roman" w:cs="Times New Roman"/>
                <w:bCs/>
              </w:rPr>
              <w:sym w:font="Wingdings" w:char="F0A8"/>
            </w:r>
            <w:r>
              <w:rPr>
                <w:rFonts w:ascii="Times New Roman" w:hAnsi="Times New Roman" w:cs="Times New Roman"/>
                <w:bCs/>
              </w:rPr>
              <w:t xml:space="preserve"> </w:t>
            </w:r>
            <w:r>
              <w:rPr>
                <w:rFonts w:ascii="Times New Roman" w:hAnsi="Times New Roman" w:cs="Times New Roman"/>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rPr>
                <w:rFonts w:ascii="Times New Roman" w:hAnsi="Times New Roman" w:cs="Times New Roman"/>
              </w:rPr>
            </w:pPr>
          </w:p>
        </w:tc>
        <w:tc>
          <w:tcPr>
            <w:tcW w:w="6949" w:type="dxa"/>
            <w:gridSpan w:val="2"/>
            <w:vAlign w:val="center"/>
          </w:tcPr>
          <w:p>
            <w:pPr>
              <w:spacing w:after="0" w:line="240" w:lineRule="auto"/>
              <w:jc w:val="both"/>
              <w:rPr>
                <w:rFonts w:ascii="Times New Roman" w:hAnsi="Times New Roman" w:cs="Times New Roman"/>
              </w:rPr>
            </w:pPr>
            <w:r>
              <w:rPr>
                <w:rFonts w:ascii="Times New Roman" w:hAnsi="Times New Roman" w:cs="Times New Roman"/>
                <w:bCs/>
              </w:rPr>
              <w:sym w:font="Wingdings" w:char="F0A8"/>
            </w:r>
            <w:r>
              <w:rPr>
                <w:rFonts w:ascii="Times New Roman" w:hAnsi="Times New Roman" w:cs="Times New Roman"/>
                <w:bCs/>
              </w:rPr>
              <w:t xml:space="preserve"> </w:t>
            </w:r>
            <w:r>
              <w:rPr>
                <w:rFonts w:ascii="Times New Roman" w:hAnsi="Times New Roman" w:cs="Times New Roman"/>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rPr>
                <w:rFonts w:ascii="Times New Roman" w:hAnsi="Times New Roman" w:cs="Times New Roman"/>
                <w:b/>
              </w:rPr>
            </w:pPr>
            <w:r>
              <w:rPr>
                <w:rFonts w:ascii="Times New Roman" w:hAnsi="Times New Roman" w:cs="Times New Roman"/>
                <w:b/>
              </w:rPr>
              <w:t>备注</w:t>
            </w:r>
          </w:p>
        </w:tc>
        <w:tc>
          <w:tcPr>
            <w:tcW w:w="6949" w:type="dxa"/>
            <w:gridSpan w:val="2"/>
            <w:vAlign w:val="center"/>
          </w:tcPr>
          <w:p>
            <w:pPr>
              <w:spacing w:after="0" w:line="240" w:lineRule="auto"/>
              <w:jc w:val="both"/>
              <w:rPr>
                <w:rFonts w:ascii="Times New Roman" w:hAnsi="Times New Roman" w:cs="Times New Roman"/>
              </w:rPr>
            </w:pPr>
            <w:r>
              <w:rPr>
                <w:rFonts w:ascii="Times New Roman" w:hAnsi="Times New Roman" w:cs="Times New Roman"/>
              </w:rPr>
              <w:t>本次交易的</w:t>
            </w:r>
            <w:r>
              <w:rPr>
                <w:rFonts w:hint="eastAsia" w:ascii="Times New Roman" w:hAnsi="Times New Roman" w:cs="Times New Roman"/>
              </w:rPr>
              <w:t>相关市场为：</w:t>
            </w:r>
          </w:p>
          <w:p>
            <w:pPr>
              <w:pStyle w:val="15"/>
              <w:numPr>
                <w:ilvl w:val="0"/>
                <w:numId w:val="1"/>
              </w:numPr>
              <w:spacing w:after="0" w:line="240" w:lineRule="auto"/>
              <w:ind w:left="630" w:hanging="630"/>
              <w:jc w:val="both"/>
              <w:rPr>
                <w:rFonts w:ascii="Times New Roman" w:hAnsi="Times New Roman" w:cs="Times New Roman"/>
              </w:rPr>
            </w:pPr>
            <w:r>
              <w:rPr>
                <w:rFonts w:hint="eastAsia" w:ascii="Times New Roman" w:hAnsi="Times New Roman" w:cs="Times New Roman"/>
              </w:rPr>
              <w:t>郑州、北京、广州、杭州、成都、西安、南昌、贵阳等8个城市的通用仓库开发及租赁市场</w:t>
            </w:r>
          </w:p>
          <w:p>
            <w:pPr>
              <w:pStyle w:val="15"/>
              <w:numPr>
                <w:ilvl w:val="0"/>
                <w:numId w:val="1"/>
              </w:numPr>
              <w:spacing w:after="0" w:line="240" w:lineRule="auto"/>
              <w:ind w:left="630" w:hanging="630"/>
              <w:jc w:val="both"/>
              <w:rPr>
                <w:rFonts w:ascii="Times New Roman" w:hAnsi="Times New Roman" w:cs="Times New Roman"/>
              </w:rPr>
            </w:pPr>
            <w:r>
              <w:rPr>
                <w:rFonts w:hint="eastAsia" w:ascii="Times New Roman" w:hAnsi="Times New Roman" w:cs="Times New Roman"/>
              </w:rPr>
              <w:t>广州、杭州、成都、西安等4个城市的冷库开发及租赁市场</w:t>
            </w:r>
          </w:p>
          <w:p>
            <w:pPr>
              <w:pStyle w:val="15"/>
              <w:numPr>
                <w:ilvl w:val="0"/>
                <w:numId w:val="1"/>
              </w:numPr>
              <w:spacing w:after="0" w:line="240" w:lineRule="auto"/>
              <w:ind w:left="630" w:hanging="630"/>
              <w:jc w:val="both"/>
              <w:rPr>
                <w:rFonts w:ascii="Times New Roman" w:hAnsi="Times New Roman" w:cs="Times New Roman"/>
              </w:rPr>
            </w:pPr>
            <w:r>
              <w:rPr>
                <w:rFonts w:ascii="Times New Roman" w:hAnsi="Times New Roman" w:cs="Times New Roman"/>
              </w:rPr>
              <w:t>中国冷链物流服务市场</w:t>
            </w:r>
          </w:p>
          <w:p>
            <w:pPr>
              <w:pStyle w:val="15"/>
              <w:numPr>
                <w:ilvl w:val="0"/>
                <w:numId w:val="1"/>
              </w:numPr>
              <w:spacing w:after="0" w:line="240" w:lineRule="auto"/>
              <w:ind w:left="630" w:hanging="630"/>
              <w:jc w:val="both"/>
              <w:rPr>
                <w:rFonts w:ascii="Times New Roman" w:hAnsi="Times New Roman" w:cs="Times New Roman"/>
              </w:rPr>
            </w:pPr>
            <w:r>
              <w:rPr>
                <w:rFonts w:ascii="Times New Roman" w:hAnsi="Times New Roman" w:cs="Times New Roman"/>
              </w:rPr>
              <w:t>中国合同物流服务市场</w:t>
            </w:r>
          </w:p>
          <w:p>
            <w:pPr>
              <w:spacing w:after="0" w:line="240" w:lineRule="auto"/>
              <w:jc w:val="both"/>
              <w:rPr>
                <w:rFonts w:ascii="Times New Roman" w:hAnsi="Times New Roman" w:cs="Times New Roman"/>
              </w:rPr>
            </w:pPr>
          </w:p>
          <w:p>
            <w:pPr>
              <w:spacing w:after="0" w:line="240" w:lineRule="auto"/>
              <w:jc w:val="both"/>
              <w:rPr>
                <w:rFonts w:ascii="Times New Roman" w:hAnsi="Times New Roman" w:cs="Times New Roman"/>
              </w:rPr>
            </w:pPr>
            <w:r>
              <w:rPr>
                <w:rFonts w:hint="eastAsia" w:ascii="Times New Roman" w:hAnsi="Times New Roman" w:cs="Times New Roman"/>
              </w:rPr>
              <w:t>交易各方</w:t>
            </w:r>
            <w:r>
              <w:rPr>
                <w:rFonts w:ascii="Times New Roman" w:hAnsi="Times New Roman" w:cs="Times New Roman"/>
              </w:rPr>
              <w:t>在相关市场的市场份额如下</w:t>
            </w:r>
            <w:r>
              <w:rPr>
                <w:rFonts w:hint="eastAsia" w:ascii="Times New Roman" w:hAnsi="Times New Roman" w:cs="Times New Roman"/>
              </w:rPr>
              <w:t>：</w:t>
            </w:r>
          </w:p>
          <w:p>
            <w:pPr>
              <w:pStyle w:val="15"/>
              <w:numPr>
                <w:ilvl w:val="0"/>
                <w:numId w:val="2"/>
              </w:numPr>
              <w:spacing w:after="0" w:line="240" w:lineRule="auto"/>
              <w:jc w:val="both"/>
              <w:rPr>
                <w:rFonts w:ascii="Times New Roman" w:hAnsi="Times New Roman" w:cs="Times New Roman"/>
              </w:rPr>
            </w:pPr>
            <w:r>
              <w:rPr>
                <w:rFonts w:ascii="Times New Roman" w:hAnsi="Times New Roman" w:cs="Times New Roman"/>
              </w:rPr>
              <w:t>郑州市通用仓库开发和租赁市场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w:t>
            </w:r>
          </w:p>
          <w:p>
            <w:pPr>
              <w:pStyle w:val="15"/>
              <w:numPr>
                <w:ilvl w:val="0"/>
                <w:numId w:val="2"/>
              </w:numPr>
              <w:spacing w:after="0" w:line="240" w:lineRule="auto"/>
              <w:jc w:val="both"/>
              <w:rPr>
                <w:rFonts w:ascii="Times New Roman" w:hAnsi="Times New Roman" w:cs="Times New Roman"/>
              </w:rPr>
            </w:pPr>
            <w:r>
              <w:rPr>
                <w:rFonts w:hint="eastAsia" w:ascii="Times New Roman" w:hAnsi="Times New Roman" w:cs="Times New Roman"/>
              </w:rPr>
              <w:t>北京</w:t>
            </w:r>
            <w:r>
              <w:rPr>
                <w:rFonts w:ascii="Times New Roman" w:hAnsi="Times New Roman" w:cs="Times New Roman"/>
              </w:rPr>
              <w:t>市通用仓库开发和租赁市场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w:t>
            </w:r>
          </w:p>
          <w:p>
            <w:pPr>
              <w:pStyle w:val="15"/>
              <w:numPr>
                <w:ilvl w:val="0"/>
                <w:numId w:val="2"/>
              </w:numPr>
              <w:spacing w:after="0" w:line="240" w:lineRule="auto"/>
              <w:jc w:val="both"/>
              <w:rPr>
                <w:rFonts w:ascii="Times New Roman" w:hAnsi="Times New Roman" w:cs="Times New Roman"/>
              </w:rPr>
            </w:pPr>
            <w:r>
              <w:rPr>
                <w:rFonts w:ascii="Times New Roman" w:hAnsi="Times New Roman" w:cs="Times New Roman"/>
              </w:rPr>
              <w:t>广州市通用仓库开发和租赁市场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w:t>
            </w:r>
          </w:p>
          <w:p>
            <w:pPr>
              <w:pStyle w:val="15"/>
              <w:numPr>
                <w:ilvl w:val="0"/>
                <w:numId w:val="2"/>
              </w:numPr>
              <w:spacing w:after="0" w:line="240" w:lineRule="auto"/>
              <w:jc w:val="both"/>
              <w:rPr>
                <w:rFonts w:ascii="Times New Roman" w:hAnsi="Times New Roman" w:cs="Times New Roman"/>
              </w:rPr>
            </w:pPr>
            <w:r>
              <w:rPr>
                <w:rFonts w:ascii="Times New Roman" w:hAnsi="Times New Roman" w:cs="Times New Roman"/>
              </w:rPr>
              <w:t>杭州市通用仓库开发和租赁市场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w:t>
            </w:r>
          </w:p>
          <w:p>
            <w:pPr>
              <w:pStyle w:val="15"/>
              <w:numPr>
                <w:ilvl w:val="0"/>
                <w:numId w:val="2"/>
              </w:numPr>
              <w:spacing w:after="0" w:line="240" w:lineRule="auto"/>
              <w:jc w:val="both"/>
              <w:rPr>
                <w:rFonts w:ascii="Times New Roman" w:hAnsi="Times New Roman" w:cs="Times New Roman"/>
              </w:rPr>
            </w:pPr>
            <w:r>
              <w:rPr>
                <w:rFonts w:ascii="Times New Roman" w:hAnsi="Times New Roman" w:cs="Times New Roman"/>
              </w:rPr>
              <w:t>成都市通用仓库开发和租赁市场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w:t>
            </w:r>
          </w:p>
          <w:p>
            <w:pPr>
              <w:pStyle w:val="15"/>
              <w:numPr>
                <w:ilvl w:val="0"/>
                <w:numId w:val="2"/>
              </w:numPr>
              <w:spacing w:after="0" w:line="240" w:lineRule="auto"/>
              <w:jc w:val="both"/>
              <w:rPr>
                <w:rFonts w:ascii="Times New Roman" w:hAnsi="Times New Roman" w:cs="Times New Roman"/>
              </w:rPr>
            </w:pPr>
            <w:r>
              <w:rPr>
                <w:rFonts w:ascii="Times New Roman" w:hAnsi="Times New Roman" w:cs="Times New Roman"/>
              </w:rPr>
              <w:t>西安市通用仓库开发和租赁市场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w:t>
            </w:r>
          </w:p>
          <w:p>
            <w:pPr>
              <w:pStyle w:val="15"/>
              <w:numPr>
                <w:ilvl w:val="0"/>
                <w:numId w:val="2"/>
              </w:numPr>
              <w:spacing w:after="0" w:line="240" w:lineRule="auto"/>
              <w:jc w:val="both"/>
              <w:rPr>
                <w:rFonts w:ascii="Times New Roman" w:hAnsi="Times New Roman" w:cs="Times New Roman"/>
              </w:rPr>
            </w:pPr>
            <w:r>
              <w:rPr>
                <w:rFonts w:ascii="Times New Roman" w:hAnsi="Times New Roman" w:cs="Times New Roman"/>
              </w:rPr>
              <w:t>南昌市通用仓库开发和租赁市场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w:t>
            </w:r>
          </w:p>
          <w:p>
            <w:pPr>
              <w:pStyle w:val="15"/>
              <w:numPr>
                <w:ilvl w:val="0"/>
                <w:numId w:val="2"/>
              </w:numPr>
              <w:spacing w:after="0" w:line="240" w:lineRule="auto"/>
              <w:jc w:val="both"/>
              <w:rPr>
                <w:rFonts w:ascii="Times New Roman" w:hAnsi="Times New Roman" w:cs="Times New Roman"/>
              </w:rPr>
            </w:pPr>
            <w:r>
              <w:rPr>
                <w:rFonts w:ascii="Times New Roman" w:hAnsi="Times New Roman" w:cs="Times New Roman"/>
              </w:rPr>
              <w:t>贵阳市通用仓库开发和租赁市场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w:t>
            </w:r>
          </w:p>
          <w:p>
            <w:pPr>
              <w:pStyle w:val="15"/>
              <w:spacing w:after="0" w:line="240" w:lineRule="auto"/>
              <w:ind w:left="420"/>
              <w:jc w:val="both"/>
              <w:rPr>
                <w:rFonts w:ascii="Times New Roman" w:hAnsi="Times New Roman" w:cs="Times New Roman"/>
              </w:rPr>
            </w:pPr>
          </w:p>
          <w:p>
            <w:pPr>
              <w:pStyle w:val="15"/>
              <w:numPr>
                <w:ilvl w:val="0"/>
                <w:numId w:val="2"/>
              </w:numPr>
              <w:spacing w:after="0" w:line="240" w:lineRule="auto"/>
              <w:jc w:val="both"/>
              <w:rPr>
                <w:rFonts w:ascii="Times New Roman" w:hAnsi="Times New Roman" w:cs="Times New Roman"/>
              </w:rPr>
            </w:pPr>
            <w:r>
              <w:rPr>
                <w:rFonts w:hint="eastAsia" w:ascii="Times New Roman" w:hAnsi="Times New Roman" w:cs="Times New Roman"/>
              </w:rPr>
              <w:t>广州</w:t>
            </w:r>
            <w:r>
              <w:rPr>
                <w:rFonts w:ascii="Times New Roman" w:hAnsi="Times New Roman" w:cs="Times New Roman"/>
              </w:rPr>
              <w:t>市</w:t>
            </w:r>
            <w:r>
              <w:rPr>
                <w:rFonts w:hint="eastAsia" w:ascii="Times New Roman" w:hAnsi="Times New Roman" w:cs="Times New Roman"/>
              </w:rPr>
              <w:t>冷库</w:t>
            </w:r>
            <w:r>
              <w:rPr>
                <w:rFonts w:ascii="Times New Roman" w:hAnsi="Times New Roman" w:cs="Times New Roman"/>
              </w:rPr>
              <w:t>开发和租赁市场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w:t>
            </w:r>
          </w:p>
          <w:p>
            <w:pPr>
              <w:pStyle w:val="15"/>
              <w:numPr>
                <w:ilvl w:val="0"/>
                <w:numId w:val="2"/>
              </w:numPr>
              <w:spacing w:after="0" w:line="240" w:lineRule="auto"/>
              <w:jc w:val="both"/>
              <w:rPr>
                <w:rFonts w:ascii="Times New Roman" w:hAnsi="Times New Roman" w:cs="Times New Roman"/>
              </w:rPr>
            </w:pPr>
            <w:r>
              <w:rPr>
                <w:rFonts w:hint="eastAsia" w:ascii="Times New Roman" w:hAnsi="Times New Roman" w:cs="Times New Roman"/>
              </w:rPr>
              <w:t>杭州</w:t>
            </w:r>
            <w:r>
              <w:rPr>
                <w:rFonts w:ascii="Times New Roman" w:hAnsi="Times New Roman" w:cs="Times New Roman"/>
              </w:rPr>
              <w:t>市</w:t>
            </w:r>
            <w:r>
              <w:rPr>
                <w:rFonts w:hint="eastAsia" w:ascii="Times New Roman" w:hAnsi="Times New Roman" w:cs="Times New Roman"/>
              </w:rPr>
              <w:t>冷库</w:t>
            </w:r>
            <w:r>
              <w:rPr>
                <w:rFonts w:ascii="Times New Roman" w:hAnsi="Times New Roman" w:cs="Times New Roman"/>
              </w:rPr>
              <w:t>开发和租赁市场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10%</w:t>
            </w:r>
            <w:r>
              <w:rPr>
                <w:rFonts w:hint="eastAsia" w:ascii="Times New Roman" w:hAnsi="Times New Roman" w:cs="Times New Roman"/>
              </w:rPr>
              <w:t>-</w:t>
            </w:r>
            <w:r>
              <w:rPr>
                <w:rFonts w:ascii="Times New Roman" w:hAnsi="Times New Roman" w:cs="Times New Roman"/>
              </w:rPr>
              <w:t>15%]</w:t>
            </w:r>
          </w:p>
          <w:p>
            <w:pPr>
              <w:pStyle w:val="15"/>
              <w:numPr>
                <w:ilvl w:val="0"/>
                <w:numId w:val="2"/>
              </w:numPr>
              <w:spacing w:after="0" w:line="240" w:lineRule="auto"/>
              <w:jc w:val="both"/>
              <w:rPr>
                <w:rFonts w:ascii="Times New Roman" w:hAnsi="Times New Roman" w:cs="Times New Roman"/>
              </w:rPr>
            </w:pPr>
            <w:r>
              <w:rPr>
                <w:rFonts w:hint="eastAsia" w:ascii="Times New Roman" w:hAnsi="Times New Roman" w:cs="Times New Roman"/>
              </w:rPr>
              <w:t>成都</w:t>
            </w:r>
            <w:r>
              <w:rPr>
                <w:rFonts w:ascii="Times New Roman" w:hAnsi="Times New Roman" w:cs="Times New Roman"/>
              </w:rPr>
              <w:t>市</w:t>
            </w:r>
            <w:r>
              <w:rPr>
                <w:rFonts w:hint="eastAsia" w:ascii="Times New Roman" w:hAnsi="Times New Roman" w:cs="Times New Roman"/>
              </w:rPr>
              <w:t>冷库</w:t>
            </w:r>
            <w:r>
              <w:rPr>
                <w:rFonts w:ascii="Times New Roman" w:hAnsi="Times New Roman" w:cs="Times New Roman"/>
              </w:rPr>
              <w:t>开发和租赁市场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w:t>
            </w:r>
          </w:p>
          <w:p>
            <w:pPr>
              <w:pStyle w:val="15"/>
              <w:numPr>
                <w:ilvl w:val="0"/>
                <w:numId w:val="2"/>
              </w:numPr>
              <w:spacing w:after="0" w:line="240" w:lineRule="auto"/>
              <w:jc w:val="both"/>
              <w:rPr>
                <w:rFonts w:ascii="Times New Roman" w:hAnsi="Times New Roman" w:cs="Times New Roman"/>
              </w:rPr>
            </w:pPr>
            <w:r>
              <w:rPr>
                <w:rFonts w:hint="eastAsia" w:ascii="Times New Roman" w:hAnsi="Times New Roman" w:cs="Times New Roman"/>
              </w:rPr>
              <w:t>西安</w:t>
            </w:r>
            <w:r>
              <w:rPr>
                <w:rFonts w:ascii="Times New Roman" w:hAnsi="Times New Roman" w:cs="Times New Roman"/>
              </w:rPr>
              <w:t>市</w:t>
            </w:r>
            <w:r>
              <w:rPr>
                <w:rFonts w:hint="eastAsia" w:ascii="Times New Roman" w:hAnsi="Times New Roman" w:cs="Times New Roman"/>
              </w:rPr>
              <w:t>冷库</w:t>
            </w:r>
            <w:r>
              <w:rPr>
                <w:rFonts w:ascii="Times New Roman" w:hAnsi="Times New Roman" w:cs="Times New Roman"/>
              </w:rPr>
              <w:t>开发和租赁市场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5%-10%]</w:t>
            </w:r>
          </w:p>
          <w:p>
            <w:pPr>
              <w:pStyle w:val="15"/>
              <w:spacing w:after="0" w:line="240" w:lineRule="auto"/>
              <w:ind w:left="420"/>
              <w:jc w:val="both"/>
              <w:rPr>
                <w:rFonts w:ascii="Times New Roman" w:hAnsi="Times New Roman" w:cs="Times New Roman"/>
              </w:rPr>
            </w:pPr>
          </w:p>
          <w:p>
            <w:pPr>
              <w:pStyle w:val="15"/>
              <w:numPr>
                <w:ilvl w:val="0"/>
                <w:numId w:val="2"/>
              </w:numPr>
              <w:spacing w:after="0" w:line="240" w:lineRule="auto"/>
              <w:jc w:val="both"/>
              <w:rPr>
                <w:rFonts w:ascii="Times New Roman" w:hAnsi="Times New Roman" w:cs="Times New Roman"/>
              </w:rPr>
            </w:pPr>
            <w:r>
              <w:rPr>
                <w:rFonts w:ascii="Times New Roman" w:hAnsi="Times New Roman" w:cs="Times New Roman"/>
              </w:rPr>
              <w:t>中国冷链物流服务市场</w:t>
            </w:r>
          </w:p>
          <w:p>
            <w:pPr>
              <w:pStyle w:val="15"/>
              <w:numPr>
                <w:ilvl w:val="0"/>
                <w:numId w:val="3"/>
              </w:numPr>
              <w:spacing w:after="0" w:line="240" w:lineRule="auto"/>
              <w:jc w:val="both"/>
              <w:rPr>
                <w:rFonts w:ascii="Times New Roman" w:hAnsi="Times New Roman" w:cs="Times New Roman"/>
              </w:rPr>
            </w:pPr>
            <w:r>
              <w:rPr>
                <w:rFonts w:hint="eastAsia" w:ascii="Times New Roman" w:hAnsi="Times New Roman" w:cs="Times New Roman"/>
              </w:rPr>
              <w:t>顺丰：[</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w:t>
            </w:r>
          </w:p>
          <w:p>
            <w:pPr>
              <w:pStyle w:val="15"/>
              <w:spacing w:after="0" w:line="240" w:lineRule="auto"/>
              <w:ind w:left="420"/>
              <w:jc w:val="both"/>
              <w:rPr>
                <w:rFonts w:ascii="Times New Roman" w:hAnsi="Times New Roman" w:cs="Times New Roman"/>
              </w:rPr>
            </w:pPr>
          </w:p>
          <w:p>
            <w:pPr>
              <w:pStyle w:val="15"/>
              <w:numPr>
                <w:ilvl w:val="0"/>
                <w:numId w:val="2"/>
              </w:numPr>
              <w:spacing w:after="0" w:line="240" w:lineRule="auto"/>
              <w:jc w:val="both"/>
              <w:rPr>
                <w:rFonts w:ascii="Times New Roman" w:hAnsi="Times New Roman" w:cs="Times New Roman"/>
              </w:rPr>
            </w:pPr>
            <w:r>
              <w:rPr>
                <w:rFonts w:ascii="Times New Roman" w:hAnsi="Times New Roman" w:cs="Times New Roman"/>
              </w:rPr>
              <w:t>中国合同物流服务市场</w:t>
            </w:r>
          </w:p>
          <w:p>
            <w:pPr>
              <w:pStyle w:val="15"/>
              <w:numPr>
                <w:ilvl w:val="0"/>
                <w:numId w:val="3"/>
              </w:numPr>
              <w:spacing w:after="0" w:line="240" w:lineRule="auto"/>
              <w:jc w:val="both"/>
              <w:rPr>
                <w:rFonts w:ascii="Times New Roman" w:hAnsi="Times New Roman" w:cs="Times New Roman"/>
              </w:rPr>
            </w:pPr>
            <w:r>
              <w:rPr>
                <w:rFonts w:ascii="Times New Roman" w:hAnsi="Times New Roman" w:cs="Times New Roman"/>
              </w:rPr>
              <w:t>顺丰</w:t>
            </w:r>
            <w:r>
              <w:rPr>
                <w:rFonts w:hint="eastAsia" w:ascii="Times New Roman" w:hAnsi="Times New Roman" w:cs="Times New Roman"/>
              </w:rPr>
              <w:t>：[</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w:t>
            </w:r>
          </w:p>
        </w:tc>
      </w:tr>
    </w:tbl>
    <w:p/>
    <w:sectPr>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00"/>
    <w:family w:val="swiss"/>
    <w:pitch w:val="default"/>
    <w:sig w:usb0="E0002AFF" w:usb1="C0007843" w:usb2="00000009" w:usb3="00000000" w:csb0="400001FF" w:csb1="FFFF0000"/>
  </w:font>
  <w:font w:name="MS Mincho">
    <w:panose1 w:val="02020609040205080304"/>
    <w:charset w:val="80"/>
    <w:family w:val="roman"/>
    <w:pitch w:val="default"/>
    <w:sig w:usb0="E00002FF" w:usb1="6AC7FDFB" w:usb2="00000012" w:usb3="00000000" w:csb0="4002009F" w:csb1="DFD7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5816A2"/>
    <w:multiLevelType w:val="multilevel"/>
    <w:tmpl w:val="145816A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C6C6C49"/>
    <w:multiLevelType w:val="multilevel"/>
    <w:tmpl w:val="5C6C6C4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7D754528"/>
    <w:multiLevelType w:val="multilevel"/>
    <w:tmpl w:val="7D754528"/>
    <w:lvl w:ilvl="0" w:tentative="0">
      <w:start w:val="2"/>
      <w:numFmt w:val="bullet"/>
      <w:lvlText w:val="-"/>
      <w:lvlJc w:val="left"/>
      <w:pPr>
        <w:ind w:left="780" w:hanging="360"/>
      </w:pPr>
      <w:rPr>
        <w:rFonts w:hint="default" w:ascii="Times New Roman" w:hAnsi="Times New Roman" w:cs="Times New Roman" w:eastAsiaTheme="minorEastAsia"/>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val="1"/>
  <w:bordersDoNotSurroundHeader w:val="1"/>
  <w:bordersDoNotSurroundFooter w:val="1"/>
  <w:documentProtection w:enforcement="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06F"/>
    <w:rsid w:val="00001785"/>
    <w:rsid w:val="00026221"/>
    <w:rsid w:val="0002711F"/>
    <w:rsid w:val="000418E3"/>
    <w:rsid w:val="00064C29"/>
    <w:rsid w:val="00066183"/>
    <w:rsid w:val="000661E9"/>
    <w:rsid w:val="00074058"/>
    <w:rsid w:val="000839F2"/>
    <w:rsid w:val="000860A2"/>
    <w:rsid w:val="000860C5"/>
    <w:rsid w:val="0008695F"/>
    <w:rsid w:val="00087D6D"/>
    <w:rsid w:val="00091B54"/>
    <w:rsid w:val="000A36B1"/>
    <w:rsid w:val="000C18E5"/>
    <w:rsid w:val="000C73B2"/>
    <w:rsid w:val="000E2884"/>
    <w:rsid w:val="000F42BF"/>
    <w:rsid w:val="000F441C"/>
    <w:rsid w:val="001029E1"/>
    <w:rsid w:val="00113737"/>
    <w:rsid w:val="00122958"/>
    <w:rsid w:val="00142266"/>
    <w:rsid w:val="00170258"/>
    <w:rsid w:val="00175369"/>
    <w:rsid w:val="00182C34"/>
    <w:rsid w:val="00191996"/>
    <w:rsid w:val="00197BCC"/>
    <w:rsid w:val="001B5A55"/>
    <w:rsid w:val="001D1D74"/>
    <w:rsid w:val="001D4D74"/>
    <w:rsid w:val="002056BF"/>
    <w:rsid w:val="00215368"/>
    <w:rsid w:val="002617F7"/>
    <w:rsid w:val="002677D8"/>
    <w:rsid w:val="002A27F3"/>
    <w:rsid w:val="002A65C5"/>
    <w:rsid w:val="002B3632"/>
    <w:rsid w:val="002B41C8"/>
    <w:rsid w:val="002B67B5"/>
    <w:rsid w:val="002D1108"/>
    <w:rsid w:val="002D3661"/>
    <w:rsid w:val="002E17F6"/>
    <w:rsid w:val="002E3BCC"/>
    <w:rsid w:val="00316062"/>
    <w:rsid w:val="003169F1"/>
    <w:rsid w:val="00334FE7"/>
    <w:rsid w:val="00370FB1"/>
    <w:rsid w:val="0037245C"/>
    <w:rsid w:val="003746A2"/>
    <w:rsid w:val="00375C89"/>
    <w:rsid w:val="003938C1"/>
    <w:rsid w:val="003A1271"/>
    <w:rsid w:val="003A5D08"/>
    <w:rsid w:val="003B450D"/>
    <w:rsid w:val="003D0A5C"/>
    <w:rsid w:val="003D72CC"/>
    <w:rsid w:val="00402E3E"/>
    <w:rsid w:val="004146CE"/>
    <w:rsid w:val="0042472B"/>
    <w:rsid w:val="004772C9"/>
    <w:rsid w:val="004A21C9"/>
    <w:rsid w:val="004A40CA"/>
    <w:rsid w:val="004A445C"/>
    <w:rsid w:val="004C6D2E"/>
    <w:rsid w:val="004E07A6"/>
    <w:rsid w:val="004E4B50"/>
    <w:rsid w:val="00511E51"/>
    <w:rsid w:val="005152DE"/>
    <w:rsid w:val="005224B2"/>
    <w:rsid w:val="00532DF1"/>
    <w:rsid w:val="00561D62"/>
    <w:rsid w:val="00563FFD"/>
    <w:rsid w:val="00570552"/>
    <w:rsid w:val="00582916"/>
    <w:rsid w:val="005A1EA4"/>
    <w:rsid w:val="005B02C3"/>
    <w:rsid w:val="005B6265"/>
    <w:rsid w:val="005C3A3C"/>
    <w:rsid w:val="005D392E"/>
    <w:rsid w:val="005D7E18"/>
    <w:rsid w:val="005F056B"/>
    <w:rsid w:val="00612EA5"/>
    <w:rsid w:val="00644704"/>
    <w:rsid w:val="00653F80"/>
    <w:rsid w:val="0069400F"/>
    <w:rsid w:val="006B115A"/>
    <w:rsid w:val="006B3173"/>
    <w:rsid w:val="006C07EE"/>
    <w:rsid w:val="006C1C7B"/>
    <w:rsid w:val="006C3EF6"/>
    <w:rsid w:val="006D6A1D"/>
    <w:rsid w:val="006E3550"/>
    <w:rsid w:val="006F39D9"/>
    <w:rsid w:val="006F7CBA"/>
    <w:rsid w:val="007063A5"/>
    <w:rsid w:val="00715C23"/>
    <w:rsid w:val="00720EC6"/>
    <w:rsid w:val="00721D2F"/>
    <w:rsid w:val="0075696E"/>
    <w:rsid w:val="007663D6"/>
    <w:rsid w:val="0077295A"/>
    <w:rsid w:val="00774458"/>
    <w:rsid w:val="007929BA"/>
    <w:rsid w:val="00792E51"/>
    <w:rsid w:val="007C3328"/>
    <w:rsid w:val="007D75F4"/>
    <w:rsid w:val="00815CF8"/>
    <w:rsid w:val="0082508A"/>
    <w:rsid w:val="0082591A"/>
    <w:rsid w:val="00826312"/>
    <w:rsid w:val="00826506"/>
    <w:rsid w:val="00855FEC"/>
    <w:rsid w:val="008661DC"/>
    <w:rsid w:val="00895B87"/>
    <w:rsid w:val="008A764D"/>
    <w:rsid w:val="008D144E"/>
    <w:rsid w:val="008E494F"/>
    <w:rsid w:val="008F5334"/>
    <w:rsid w:val="0091107C"/>
    <w:rsid w:val="0091263F"/>
    <w:rsid w:val="00922AC2"/>
    <w:rsid w:val="00925B9C"/>
    <w:rsid w:val="009260DA"/>
    <w:rsid w:val="00930E2A"/>
    <w:rsid w:val="0093164E"/>
    <w:rsid w:val="00935670"/>
    <w:rsid w:val="00945C50"/>
    <w:rsid w:val="00950B17"/>
    <w:rsid w:val="00953C0F"/>
    <w:rsid w:val="00972A08"/>
    <w:rsid w:val="00972CA1"/>
    <w:rsid w:val="00976A3C"/>
    <w:rsid w:val="009870A6"/>
    <w:rsid w:val="00992F70"/>
    <w:rsid w:val="009A66FD"/>
    <w:rsid w:val="009B4F19"/>
    <w:rsid w:val="009C31BB"/>
    <w:rsid w:val="009D55CA"/>
    <w:rsid w:val="00A00955"/>
    <w:rsid w:val="00A0579E"/>
    <w:rsid w:val="00A34ADE"/>
    <w:rsid w:val="00A34D83"/>
    <w:rsid w:val="00A46A3F"/>
    <w:rsid w:val="00A47788"/>
    <w:rsid w:val="00A5306F"/>
    <w:rsid w:val="00A62EE7"/>
    <w:rsid w:val="00A67952"/>
    <w:rsid w:val="00A831FD"/>
    <w:rsid w:val="00AA2F59"/>
    <w:rsid w:val="00AA7A19"/>
    <w:rsid w:val="00AB1EA5"/>
    <w:rsid w:val="00AD1C2B"/>
    <w:rsid w:val="00AD43A4"/>
    <w:rsid w:val="00AD52B4"/>
    <w:rsid w:val="00AF0CA2"/>
    <w:rsid w:val="00AF3A86"/>
    <w:rsid w:val="00B06C1D"/>
    <w:rsid w:val="00B06D72"/>
    <w:rsid w:val="00B11045"/>
    <w:rsid w:val="00B134C4"/>
    <w:rsid w:val="00B43252"/>
    <w:rsid w:val="00B61127"/>
    <w:rsid w:val="00B731FC"/>
    <w:rsid w:val="00B83CD0"/>
    <w:rsid w:val="00B9434A"/>
    <w:rsid w:val="00BA48AB"/>
    <w:rsid w:val="00BB7E5B"/>
    <w:rsid w:val="00BC0D10"/>
    <w:rsid w:val="00BD17F8"/>
    <w:rsid w:val="00BE466D"/>
    <w:rsid w:val="00BF016A"/>
    <w:rsid w:val="00BF2251"/>
    <w:rsid w:val="00BF5029"/>
    <w:rsid w:val="00C02B9F"/>
    <w:rsid w:val="00C03537"/>
    <w:rsid w:val="00C43F73"/>
    <w:rsid w:val="00C549B1"/>
    <w:rsid w:val="00C6396D"/>
    <w:rsid w:val="00C66F53"/>
    <w:rsid w:val="00C81F93"/>
    <w:rsid w:val="00C87663"/>
    <w:rsid w:val="00CB28ED"/>
    <w:rsid w:val="00CD025F"/>
    <w:rsid w:val="00CD06A3"/>
    <w:rsid w:val="00CE4EB5"/>
    <w:rsid w:val="00CF0F7F"/>
    <w:rsid w:val="00D007B3"/>
    <w:rsid w:val="00D11851"/>
    <w:rsid w:val="00D24222"/>
    <w:rsid w:val="00D350D3"/>
    <w:rsid w:val="00D4315F"/>
    <w:rsid w:val="00D63B59"/>
    <w:rsid w:val="00D8177E"/>
    <w:rsid w:val="00D850EB"/>
    <w:rsid w:val="00DA34F8"/>
    <w:rsid w:val="00DB482A"/>
    <w:rsid w:val="00DC3F9E"/>
    <w:rsid w:val="00DD6396"/>
    <w:rsid w:val="00DE39A5"/>
    <w:rsid w:val="00E01704"/>
    <w:rsid w:val="00E079F8"/>
    <w:rsid w:val="00E13C10"/>
    <w:rsid w:val="00E21DA9"/>
    <w:rsid w:val="00E305CB"/>
    <w:rsid w:val="00E50F94"/>
    <w:rsid w:val="00E630DD"/>
    <w:rsid w:val="00E64AA3"/>
    <w:rsid w:val="00E8139C"/>
    <w:rsid w:val="00E82954"/>
    <w:rsid w:val="00EA2905"/>
    <w:rsid w:val="00EB3068"/>
    <w:rsid w:val="00EC003A"/>
    <w:rsid w:val="00ED380F"/>
    <w:rsid w:val="00EE24DE"/>
    <w:rsid w:val="00EE6EB7"/>
    <w:rsid w:val="00EE7E6F"/>
    <w:rsid w:val="00EF2592"/>
    <w:rsid w:val="00F0519E"/>
    <w:rsid w:val="00F11AF8"/>
    <w:rsid w:val="00F35C37"/>
    <w:rsid w:val="00F45D26"/>
    <w:rsid w:val="00F8134E"/>
    <w:rsid w:val="00F8299C"/>
    <w:rsid w:val="00F93F1A"/>
    <w:rsid w:val="00FB7123"/>
    <w:rsid w:val="00FD1E22"/>
    <w:rsid w:val="00FD7E60"/>
    <w:rsid w:val="00FF52FC"/>
    <w:rsid w:val="53452F2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semiHidden="0" w:name="Normal Indent"/>
    <w:lsdException w:qFormat="1" w:unhideWhenUsed="0" w:uiPriority="0"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SG" w:eastAsia="zh-CN" w:bidi="ar-SA"/>
    </w:rPr>
  </w:style>
  <w:style w:type="character" w:default="1" w:styleId="7">
    <w:name w:val="Default Paragraph Font"/>
    <w:semiHidden/>
    <w:unhideWhenUsed/>
    <w:uiPriority w:val="1"/>
  </w:style>
  <w:style w:type="table" w:default="1" w:styleId="10">
    <w:name w:val="Normal Table"/>
    <w:semiHidden/>
    <w:unhideWhenUsed/>
    <w:uiPriority w:val="99"/>
    <w:tblPr>
      <w:tblLayout w:type="fixed"/>
      <w:tblCellMar>
        <w:top w:w="0" w:type="dxa"/>
        <w:left w:w="108" w:type="dxa"/>
        <w:bottom w:w="0" w:type="dxa"/>
        <w:right w:w="108" w:type="dxa"/>
      </w:tblCellMar>
    </w:tblPr>
  </w:style>
  <w:style w:type="paragraph" w:styleId="2">
    <w:name w:val="Normal Indent"/>
    <w:basedOn w:val="1"/>
    <w:link w:val="16"/>
    <w:unhideWhenUsed/>
    <w:uiPriority w:val="99"/>
    <w:pPr>
      <w:spacing w:after="0" w:line="240" w:lineRule="auto"/>
      <w:ind w:left="720"/>
    </w:pPr>
    <w:rPr>
      <w:rFonts w:ascii="Calibri" w:hAnsi="Calibri" w:eastAsia="MS Mincho" w:cs="Times New Roman"/>
      <w:sz w:val="20"/>
      <w:szCs w:val="20"/>
      <w:lang w:eastAsia="en-US"/>
    </w:rPr>
  </w:style>
  <w:style w:type="paragraph" w:styleId="3">
    <w:name w:val="Balloon Text"/>
    <w:basedOn w:val="1"/>
    <w:link w:val="18"/>
    <w:semiHidden/>
    <w:unhideWhenUsed/>
    <w:uiPriority w:val="99"/>
    <w:pPr>
      <w:spacing w:after="0" w:line="240" w:lineRule="auto"/>
    </w:pPr>
    <w:rPr>
      <w:rFonts w:ascii="Tahoma" w:hAnsi="Tahoma" w:cs="Tahoma"/>
      <w:sz w:val="16"/>
      <w:szCs w:val="16"/>
    </w:rPr>
  </w:style>
  <w:style w:type="paragraph" w:styleId="4">
    <w:name w:val="footer"/>
    <w:basedOn w:val="1"/>
    <w:link w:val="13"/>
    <w:unhideWhenUsed/>
    <w:uiPriority w:val="99"/>
    <w:pPr>
      <w:tabs>
        <w:tab w:val="center" w:pos="4320"/>
        <w:tab w:val="right" w:pos="8640"/>
      </w:tabs>
      <w:spacing w:after="0" w:line="240" w:lineRule="auto"/>
    </w:pPr>
  </w:style>
  <w:style w:type="paragraph" w:styleId="5">
    <w:name w:val="header"/>
    <w:basedOn w:val="1"/>
    <w:link w:val="12"/>
    <w:unhideWhenUsed/>
    <w:uiPriority w:val="99"/>
    <w:pPr>
      <w:tabs>
        <w:tab w:val="center" w:pos="4320"/>
        <w:tab w:val="right" w:pos="8640"/>
      </w:tabs>
      <w:spacing w:after="0" w:line="240" w:lineRule="auto"/>
    </w:pPr>
  </w:style>
  <w:style w:type="paragraph" w:styleId="6">
    <w:name w:val="footnote text"/>
    <w:basedOn w:val="1"/>
    <w:link w:val="14"/>
    <w:qFormat/>
    <w:uiPriority w:val="0"/>
    <w:pPr>
      <w:widowControl w:val="0"/>
      <w:snapToGrid w:val="0"/>
      <w:spacing w:after="0" w:line="240" w:lineRule="auto"/>
    </w:pPr>
    <w:rPr>
      <w:rFonts w:ascii="Times New Roman" w:hAnsi="Times New Roman" w:eastAsia="宋体" w:cs="Times New Roman"/>
      <w:kern w:val="2"/>
      <w:sz w:val="18"/>
      <w:szCs w:val="18"/>
    </w:rPr>
  </w:style>
  <w:style w:type="character" w:styleId="8">
    <w:name w:val="Hyperlink"/>
    <w:uiPriority w:val="99"/>
    <w:rPr>
      <w:color w:val="0000FF"/>
      <w:u w:val="single"/>
    </w:rPr>
  </w:style>
  <w:style w:type="character" w:styleId="9">
    <w:name w:val="footnote reference"/>
    <w:uiPriority w:val="99"/>
    <w:rPr>
      <w:vertAlign w:val="superscript"/>
    </w:rPr>
  </w:style>
  <w:style w:type="table" w:styleId="11">
    <w:name w:val="Table Grid"/>
    <w:basedOn w:val="10"/>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2">
    <w:name w:val="页眉 Char"/>
    <w:basedOn w:val="7"/>
    <w:link w:val="5"/>
    <w:uiPriority w:val="99"/>
  </w:style>
  <w:style w:type="character" w:customStyle="1" w:styleId="13">
    <w:name w:val="页脚 Char"/>
    <w:basedOn w:val="7"/>
    <w:link w:val="4"/>
    <w:uiPriority w:val="99"/>
  </w:style>
  <w:style w:type="character" w:customStyle="1" w:styleId="14">
    <w:name w:val="脚注文本 Char"/>
    <w:basedOn w:val="7"/>
    <w:link w:val="6"/>
    <w:uiPriority w:val="0"/>
    <w:rPr>
      <w:rFonts w:ascii="Times New Roman" w:hAnsi="Times New Roman" w:eastAsia="宋体" w:cs="Times New Roman"/>
      <w:kern w:val="2"/>
      <w:sz w:val="18"/>
      <w:szCs w:val="18"/>
      <w:lang w:bidi="ar-SA"/>
    </w:rPr>
  </w:style>
  <w:style w:type="paragraph" w:styleId="15">
    <w:name w:val="List Paragraph"/>
    <w:basedOn w:val="1"/>
    <w:qFormat/>
    <w:uiPriority w:val="34"/>
    <w:pPr>
      <w:ind w:left="720"/>
      <w:contextualSpacing/>
    </w:pPr>
  </w:style>
  <w:style w:type="character" w:customStyle="1" w:styleId="16">
    <w:name w:val="正文缩进 Char"/>
    <w:link w:val="2"/>
    <w:uiPriority w:val="99"/>
    <w:rPr>
      <w:rFonts w:ascii="Calibri" w:hAnsi="Calibri" w:eastAsia="MS Mincho" w:cs="Times New Roman"/>
      <w:sz w:val="20"/>
      <w:szCs w:val="20"/>
      <w:lang w:eastAsia="en-US"/>
    </w:rPr>
  </w:style>
  <w:style w:type="paragraph" w:customStyle="1" w:styleId="17">
    <w:name w:val="Revision"/>
    <w:hidden/>
    <w:semiHidden/>
    <w:uiPriority w:val="99"/>
    <w:pPr>
      <w:spacing w:after="0" w:line="240" w:lineRule="auto"/>
    </w:pPr>
    <w:rPr>
      <w:rFonts w:ascii="Times New Roman" w:hAnsi="Times New Roman" w:eastAsia="宋体" w:cs="Times New Roman"/>
      <w:kern w:val="2"/>
      <w:sz w:val="21"/>
      <w:szCs w:val="24"/>
      <w:lang w:val="en-SG" w:eastAsia="zh-CN" w:bidi="ar-SA"/>
    </w:rPr>
  </w:style>
  <w:style w:type="character" w:customStyle="1" w:styleId="18">
    <w:name w:val="批注框文本 Char"/>
    <w:basedOn w:val="7"/>
    <w:link w:val="3"/>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170</Words>
  <Characters>971</Characters>
  <Lines>8</Lines>
  <Paragraphs>2</Paragraphs>
  <TotalTime>66</TotalTime>
  <ScaleCrop>false</ScaleCrop>
  <LinksUpToDate>false</LinksUpToDate>
  <CharactersWithSpaces>1139</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2020-02-06T07:43:00Z</dcterms:created>
  <dc:creator>DELL</dc:creator>
  <cp:lastModifiedBy>然</cp:lastModifiedBy>
  <dcterms:modified xsi:type="dcterms:W3CDTF">2020-04-29T08:30:52Z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