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7"/>
        <w:ind w:left="220" w:right="0"/>
        <w:jc w:val="left"/>
      </w:pPr>
      <w:r>
        <w:t>附件二、</w:t>
      </w:r>
    </w:p>
    <w:p>
      <w:pPr>
        <w:spacing w:before="70"/>
        <w:ind w:left="2554" w:right="2815" w:firstLine="0"/>
        <w:jc w:val="center"/>
        <w:rPr>
          <w:rFonts w:hint="eastAsia" w:ascii="黑体" w:eastAsia="黑体"/>
          <w:sz w:val="30"/>
        </w:rPr>
      </w:pPr>
      <w:r>
        <w:rPr>
          <w:rFonts w:hint="eastAsia" w:ascii="黑体" w:eastAsia="黑体"/>
          <w:sz w:val="30"/>
        </w:rPr>
        <w:t>经营者集中简易案件公示表</w:t>
      </w: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3"/>
        <w:rPr>
          <w:rFonts w:ascii="黑体"/>
          <w:sz w:val="20"/>
        </w:rPr>
      </w:pPr>
    </w:p>
    <w:p>
      <w:pPr>
        <w:pStyle w:val="2"/>
        <w:spacing w:before="216"/>
      </w:pPr>
      <w:bookmarkStart w:id="0" w:name="_GoBack"/>
      <w:bookmarkEnd w:id="0"/>
      <w:r>
        <w:pict>
          <v:shape id="_x0000_s1026" o:spid="_x0000_s1026" o:spt="202" type="#_x0000_t202" style="position:absolute;left:0pt;margin-left:84.35pt;margin-top:-71.25pt;height:602.4pt;width:438.65pt;mso-position-horizontal-relative:page;z-index:251658240;mso-width-relative:page;mso-height-relative:page;" filled="f" stroked="f" coordsize="21600,21600">
            <v:path/>
            <v:fill on="f" focussize="0,0"/>
            <v:stroke on="f" joinstyle="miter"/>
            <v:imagedata o:title=""/>
            <o:lock v:ext="edit"/>
            <v:textbox inset="0mm,0mm,0mm,0mm">
              <w:txbxContent>
                <w:tbl>
                  <w:tblPr>
                    <w:tblStyle w:val="4"/>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9"/>
                    <w:gridCol w:w="1796"/>
                    <w:gridCol w:w="51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809" w:type="dxa"/>
                        <w:shd w:val="clear" w:color="auto" w:fill="D9D9D9"/>
                      </w:tcPr>
                      <w:p>
                        <w:pPr>
                          <w:pStyle w:val="9"/>
                          <w:spacing w:before="121"/>
                          <w:ind w:left="107"/>
                          <w:rPr>
                            <w:sz w:val="28"/>
                          </w:rPr>
                        </w:pPr>
                        <w:r>
                          <w:rPr>
                            <w:sz w:val="28"/>
                          </w:rPr>
                          <w:t>案件名称</w:t>
                        </w:r>
                      </w:p>
                    </w:tc>
                    <w:tc>
                      <w:tcPr>
                        <w:tcW w:w="6949" w:type="dxa"/>
                        <w:gridSpan w:val="2"/>
                      </w:tcPr>
                      <w:p>
                        <w:pPr>
                          <w:pStyle w:val="9"/>
                          <w:spacing w:before="1" w:line="500" w:lineRule="exact"/>
                          <w:ind w:right="94"/>
                          <w:rPr>
                            <w:sz w:val="28"/>
                          </w:rPr>
                        </w:pPr>
                        <w:r>
                          <w:rPr>
                            <w:sz w:val="28"/>
                          </w:rPr>
                          <w:t>中升（大连）集团有限公司收购浙江宝利德股份有限公司部分业务案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9" w:hRule="atLeast"/>
                    </w:trPr>
                    <w:tc>
                      <w:tcPr>
                        <w:tcW w:w="1809" w:type="dxa"/>
                        <w:shd w:val="clear" w:color="auto" w:fill="D9D9D9"/>
                      </w:tcPr>
                      <w:p>
                        <w:pPr>
                          <w:pStyle w:val="9"/>
                          <w:spacing w:before="121" w:line="333" w:lineRule="auto"/>
                          <w:ind w:left="107" w:right="95"/>
                          <w:rPr>
                            <w:sz w:val="28"/>
                          </w:rPr>
                        </w:pPr>
                        <w:r>
                          <w:rPr>
                            <w:spacing w:val="-24"/>
                            <w:sz w:val="28"/>
                          </w:rPr>
                          <w:t>交易概况</w:t>
                        </w:r>
                        <w:r>
                          <w:rPr>
                            <w:sz w:val="28"/>
                          </w:rPr>
                          <w:t>（</w:t>
                        </w:r>
                        <w:r>
                          <w:rPr>
                            <w:spacing w:val="-14"/>
                            <w:sz w:val="28"/>
                          </w:rPr>
                          <w:t>限</w:t>
                        </w:r>
                        <w:r>
                          <w:rPr>
                            <w:sz w:val="28"/>
                          </w:rPr>
                          <w:t>200</w:t>
                        </w:r>
                        <w:r>
                          <w:rPr>
                            <w:spacing w:val="-25"/>
                            <w:sz w:val="28"/>
                          </w:rPr>
                          <w:t xml:space="preserve"> 字内</w:t>
                        </w:r>
                        <w:r>
                          <w:rPr>
                            <w:sz w:val="28"/>
                          </w:rPr>
                          <w:t>）</w:t>
                        </w:r>
                      </w:p>
                    </w:tc>
                    <w:tc>
                      <w:tcPr>
                        <w:tcW w:w="6949" w:type="dxa"/>
                        <w:gridSpan w:val="2"/>
                      </w:tcPr>
                      <w:p>
                        <w:pPr>
                          <w:pStyle w:val="9"/>
                          <w:spacing w:before="121" w:line="333" w:lineRule="auto"/>
                          <w:ind w:right="91"/>
                          <w:rPr>
                            <w:sz w:val="28"/>
                          </w:rPr>
                        </w:pPr>
                        <w:r>
                          <w:rPr>
                            <w:spacing w:val="-15"/>
                            <w:w w:val="100"/>
                            <w:sz w:val="28"/>
                          </w:rPr>
                          <w:t>中升</w:t>
                        </w:r>
                        <w:r>
                          <w:rPr>
                            <w:spacing w:val="-1"/>
                            <w:w w:val="100"/>
                            <w:sz w:val="28"/>
                          </w:rPr>
                          <w:t>（</w:t>
                        </w:r>
                        <w:r>
                          <w:rPr>
                            <w:spacing w:val="-2"/>
                            <w:w w:val="100"/>
                            <w:sz w:val="28"/>
                          </w:rPr>
                          <w:t>大连</w:t>
                        </w:r>
                        <w:r>
                          <w:rPr>
                            <w:spacing w:val="-27"/>
                            <w:w w:val="100"/>
                            <w:sz w:val="28"/>
                          </w:rPr>
                          <w:t>）</w:t>
                        </w:r>
                        <w:r>
                          <w:rPr>
                            <w:spacing w:val="-7"/>
                            <w:w w:val="100"/>
                            <w:sz w:val="28"/>
                          </w:rPr>
                          <w:t>集团有限公司</w:t>
                        </w:r>
                        <w:r>
                          <w:rPr>
                            <w:spacing w:val="-3"/>
                            <w:w w:val="100"/>
                            <w:sz w:val="28"/>
                          </w:rPr>
                          <w:t>（</w:t>
                        </w:r>
                        <w:r>
                          <w:rPr>
                            <w:spacing w:val="-7"/>
                            <w:w w:val="100"/>
                            <w:sz w:val="28"/>
                          </w:rPr>
                          <w:t>以下简称“</w:t>
                        </w:r>
                        <w:r>
                          <w:rPr>
                            <w:b/>
                            <w:spacing w:val="-1"/>
                            <w:w w:val="99"/>
                            <w:sz w:val="28"/>
                          </w:rPr>
                          <w:t>中升大连</w:t>
                        </w:r>
                        <w:r>
                          <w:rPr>
                            <w:spacing w:val="-142"/>
                            <w:w w:val="100"/>
                            <w:sz w:val="28"/>
                          </w:rPr>
                          <w:t>”</w:t>
                        </w:r>
                        <w:r>
                          <w:rPr>
                            <w:spacing w:val="-27"/>
                            <w:w w:val="100"/>
                            <w:sz w:val="28"/>
                          </w:rPr>
                          <w:t>）</w:t>
                        </w:r>
                        <w:r>
                          <w:rPr>
                            <w:w w:val="100"/>
                            <w:sz w:val="28"/>
                          </w:rPr>
                          <w:t>拟</w:t>
                        </w:r>
                        <w:r>
                          <w:rPr>
                            <w:spacing w:val="-14"/>
                            <w:sz w:val="28"/>
                          </w:rPr>
                          <w:t>收购浙江宝利德股份有限公司</w:t>
                        </w:r>
                        <w:r>
                          <w:rPr>
                            <w:spacing w:val="-3"/>
                            <w:sz w:val="28"/>
                          </w:rPr>
                          <w:t>（</w:t>
                        </w:r>
                        <w:r>
                          <w:rPr>
                            <w:spacing w:val="-30"/>
                            <w:sz w:val="28"/>
                          </w:rPr>
                          <w:t>以下简称“</w:t>
                        </w:r>
                        <w:r>
                          <w:rPr>
                            <w:b/>
                            <w:sz w:val="28"/>
                          </w:rPr>
                          <w:t>浙江宝利德</w:t>
                        </w:r>
                        <w:r>
                          <w:rPr>
                            <w:spacing w:val="-140"/>
                            <w:sz w:val="28"/>
                          </w:rPr>
                          <w:t>”</w:t>
                        </w:r>
                        <w:r>
                          <w:rPr>
                            <w:spacing w:val="9"/>
                            <w:sz w:val="28"/>
                          </w:rPr>
                          <w:t>在中国境内持有的部分乘用车零售业务，具体包括</w:t>
                        </w:r>
                        <w:r>
                          <w:rPr>
                            <w:rFonts w:ascii="Arial" w:hAnsi="Arial" w:eastAsia="Arial"/>
                            <w:sz w:val="28"/>
                          </w:rPr>
                          <w:t xml:space="preserve">(1) </w:t>
                        </w:r>
                        <w:r>
                          <w:rPr>
                            <w:spacing w:val="4"/>
                            <w:sz w:val="28"/>
                          </w:rPr>
                          <w:t>武汉宝利德汽车有限公司（</w:t>
                        </w:r>
                        <w:r>
                          <w:rPr>
                            <w:rFonts w:ascii="Arial" w:hAnsi="Arial" w:eastAsia="Arial"/>
                            <w:spacing w:val="4"/>
                            <w:sz w:val="28"/>
                          </w:rPr>
                          <w:t>2</w:t>
                        </w:r>
                        <w:r>
                          <w:rPr>
                            <w:spacing w:val="4"/>
                            <w:sz w:val="28"/>
                          </w:rPr>
                          <w:t>）</w:t>
                        </w:r>
                        <w:r>
                          <w:rPr>
                            <w:spacing w:val="3"/>
                            <w:sz w:val="28"/>
                          </w:rPr>
                          <w:t>孝感星宝行汽车有限公</w:t>
                        </w:r>
                        <w:r>
                          <w:rPr>
                            <w:spacing w:val="-75"/>
                            <w:w w:val="100"/>
                            <w:sz w:val="28"/>
                          </w:rPr>
                          <w:t>司</w:t>
                        </w:r>
                        <w:r>
                          <w:rPr>
                            <w:spacing w:val="-3"/>
                            <w:w w:val="100"/>
                            <w:sz w:val="28"/>
                          </w:rPr>
                          <w:t>（</w:t>
                        </w:r>
                        <w:r>
                          <w:rPr>
                            <w:rFonts w:ascii="Arial" w:hAnsi="Arial" w:eastAsia="Arial"/>
                            <w:spacing w:val="-1"/>
                            <w:w w:val="100"/>
                            <w:sz w:val="28"/>
                          </w:rPr>
                          <w:t>3</w:t>
                        </w:r>
                        <w:r>
                          <w:rPr>
                            <w:spacing w:val="-77"/>
                            <w:w w:val="100"/>
                            <w:sz w:val="28"/>
                          </w:rPr>
                          <w:t>）</w:t>
                        </w:r>
                        <w:r>
                          <w:rPr>
                            <w:spacing w:val="-9"/>
                            <w:w w:val="100"/>
                            <w:sz w:val="28"/>
                          </w:rPr>
                          <w:t>景德镇宝利德汽车有限公司</w:t>
                        </w:r>
                        <w:r>
                          <w:rPr>
                            <w:spacing w:val="-5"/>
                            <w:w w:val="100"/>
                            <w:sz w:val="28"/>
                          </w:rPr>
                          <w:t>（</w:t>
                        </w:r>
                        <w:r>
                          <w:rPr>
                            <w:spacing w:val="-2"/>
                            <w:w w:val="100"/>
                            <w:sz w:val="28"/>
                          </w:rPr>
                          <w:t>含抚州分公司</w:t>
                        </w:r>
                        <w:r>
                          <w:rPr>
                            <w:spacing w:val="-217"/>
                            <w:w w:val="100"/>
                            <w:sz w:val="28"/>
                          </w:rPr>
                          <w:t>）</w:t>
                        </w:r>
                        <w:r>
                          <w:rPr>
                            <w:spacing w:val="-1"/>
                            <w:w w:val="100"/>
                            <w:sz w:val="28"/>
                          </w:rPr>
                          <w:t>（</w:t>
                        </w:r>
                        <w:r>
                          <w:rPr>
                            <w:rFonts w:ascii="Arial" w:hAnsi="Arial" w:eastAsia="Arial"/>
                            <w:w w:val="100"/>
                            <w:sz w:val="28"/>
                          </w:rPr>
                          <w:t>4</w:t>
                        </w:r>
                        <w:r>
                          <w:rPr>
                            <w:spacing w:val="4"/>
                            <w:sz w:val="28"/>
                          </w:rPr>
                          <w:t>宁德宝利德汽车有限公司（</w:t>
                        </w:r>
                        <w:r>
                          <w:rPr>
                            <w:rFonts w:ascii="Arial" w:hAnsi="Arial" w:eastAsia="Arial"/>
                            <w:spacing w:val="4"/>
                            <w:sz w:val="28"/>
                          </w:rPr>
                          <w:t>5</w:t>
                        </w:r>
                        <w:r>
                          <w:rPr>
                            <w:spacing w:val="4"/>
                            <w:sz w:val="28"/>
                          </w:rPr>
                          <w:t>）</w:t>
                        </w:r>
                        <w:r>
                          <w:rPr>
                            <w:spacing w:val="3"/>
                            <w:sz w:val="28"/>
                          </w:rPr>
                          <w:t>红河宝利德汽车销售服</w:t>
                        </w:r>
                        <w:r>
                          <w:rPr>
                            <w:spacing w:val="-2"/>
                            <w:sz w:val="28"/>
                          </w:rPr>
                          <w:t>务有限公司</w:t>
                        </w:r>
                        <w:r>
                          <w:rPr>
                            <w:spacing w:val="-3"/>
                            <w:sz w:val="28"/>
                          </w:rPr>
                          <w:t>（</w:t>
                        </w:r>
                        <w:r>
                          <w:rPr>
                            <w:rFonts w:ascii="Arial" w:hAnsi="Arial" w:eastAsia="Arial"/>
                            <w:spacing w:val="-3"/>
                            <w:sz w:val="28"/>
                          </w:rPr>
                          <w:t>6</w:t>
                        </w:r>
                        <w:r>
                          <w:rPr>
                            <w:spacing w:val="-3"/>
                            <w:sz w:val="28"/>
                          </w:rPr>
                          <w:t>）</w:t>
                        </w:r>
                        <w:r>
                          <w:rPr>
                            <w:spacing w:val="-4"/>
                            <w:sz w:val="28"/>
                          </w:rPr>
                          <w:t>宜兴路德行汽车有限公司</w:t>
                        </w:r>
                        <w:r>
                          <w:rPr>
                            <w:spacing w:val="-3"/>
                            <w:sz w:val="28"/>
                          </w:rPr>
                          <w:t>（</w:t>
                        </w:r>
                        <w:r>
                          <w:rPr>
                            <w:rFonts w:ascii="Arial" w:hAnsi="Arial" w:eastAsia="Arial"/>
                            <w:spacing w:val="-3"/>
                            <w:sz w:val="28"/>
                          </w:rPr>
                          <w:t>7</w:t>
                        </w:r>
                        <w:r>
                          <w:rPr>
                            <w:spacing w:val="-3"/>
                            <w:sz w:val="28"/>
                          </w:rPr>
                          <w:t>）</w:t>
                        </w:r>
                        <w:r>
                          <w:rPr>
                            <w:spacing w:val="-2"/>
                            <w:sz w:val="28"/>
                          </w:rPr>
                          <w:t>景德镇</w:t>
                        </w:r>
                        <w:r>
                          <w:rPr>
                            <w:spacing w:val="-10"/>
                            <w:sz w:val="28"/>
                          </w:rPr>
                          <w:t xml:space="preserve">路德行汽车有限公司 </w:t>
                        </w:r>
                        <w:r>
                          <w:rPr>
                            <w:rFonts w:ascii="Arial" w:hAnsi="Arial" w:eastAsia="Arial"/>
                            <w:sz w:val="28"/>
                          </w:rPr>
                          <w:t xml:space="preserve">7 </w:t>
                        </w:r>
                        <w:r>
                          <w:rPr>
                            <w:spacing w:val="-3"/>
                            <w:sz w:val="28"/>
                          </w:rPr>
                          <w:t>家从事乘用车零售业务的目标公</w:t>
                        </w:r>
                        <w:r>
                          <w:rPr>
                            <w:spacing w:val="-26"/>
                            <w:sz w:val="28"/>
                          </w:rPr>
                          <w:t xml:space="preserve">司 </w:t>
                        </w:r>
                        <w:r>
                          <w:rPr>
                            <w:rFonts w:ascii="Arial" w:hAnsi="Arial" w:eastAsia="Arial"/>
                            <w:sz w:val="28"/>
                          </w:rPr>
                          <w:t>100%</w:t>
                        </w:r>
                        <w:r>
                          <w:rPr>
                            <w:spacing w:val="10"/>
                            <w:sz w:val="28"/>
                          </w:rPr>
                          <w:t>的股权</w:t>
                        </w:r>
                        <w:r>
                          <w:rPr>
                            <w:spacing w:val="11"/>
                            <w:sz w:val="28"/>
                          </w:rPr>
                          <w:t>（</w:t>
                        </w:r>
                        <w:r>
                          <w:rPr>
                            <w:spacing w:val="9"/>
                            <w:sz w:val="28"/>
                          </w:rPr>
                          <w:t>以下合称</w:t>
                        </w:r>
                        <w:r>
                          <w:rPr>
                            <w:rFonts w:ascii="Arial" w:hAnsi="Arial" w:eastAsia="Arial"/>
                            <w:spacing w:val="12"/>
                            <w:sz w:val="28"/>
                          </w:rPr>
                          <w:t>“</w:t>
                        </w:r>
                        <w:r>
                          <w:rPr>
                            <w:b/>
                            <w:spacing w:val="10"/>
                            <w:sz w:val="28"/>
                          </w:rPr>
                          <w:t>拟出售部分乘用车零售业</w:t>
                        </w:r>
                        <w:r>
                          <w:rPr>
                            <w:b/>
                            <w:spacing w:val="2"/>
                            <w:w w:val="99"/>
                            <w:sz w:val="28"/>
                          </w:rPr>
                          <w:t>务</w:t>
                        </w:r>
                        <w:r>
                          <w:rPr>
                            <w:rFonts w:ascii="Arial" w:hAnsi="Arial" w:eastAsia="Arial"/>
                            <w:spacing w:val="2"/>
                            <w:w w:val="100"/>
                            <w:sz w:val="28"/>
                          </w:rPr>
                          <w:t>”</w:t>
                        </w:r>
                        <w:r>
                          <w:rPr>
                            <w:spacing w:val="-140"/>
                            <w:w w:val="100"/>
                            <w:sz w:val="28"/>
                          </w:rPr>
                          <w:t>）</w:t>
                        </w:r>
                        <w:r>
                          <w:rPr>
                            <w:spacing w:val="-1"/>
                            <w:w w:val="100"/>
                            <w:sz w:val="28"/>
                          </w:rPr>
                          <w:t>。本次交易完成后，中升大连将取得拟出售部分乘</w:t>
                        </w:r>
                      </w:p>
                      <w:p>
                        <w:pPr>
                          <w:pStyle w:val="9"/>
                          <w:spacing w:before="12"/>
                          <w:rPr>
                            <w:sz w:val="28"/>
                          </w:rPr>
                        </w:pPr>
                        <w:r>
                          <w:rPr>
                            <w:sz w:val="28"/>
                          </w:rPr>
                          <w:t>用车零售业务的单独控制权。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0" w:hRule="atLeast"/>
                    </w:trPr>
                    <w:tc>
                      <w:tcPr>
                        <w:tcW w:w="1809" w:type="dxa"/>
                        <w:vMerge w:val="restart"/>
                        <w:shd w:val="clear" w:color="auto" w:fill="D9D9D9"/>
                      </w:tcPr>
                      <w:p>
                        <w:pPr>
                          <w:pStyle w:val="9"/>
                          <w:spacing w:line="336" w:lineRule="auto"/>
                          <w:ind w:left="107" w:right="95"/>
                          <w:rPr>
                            <w:sz w:val="28"/>
                          </w:rPr>
                        </w:pPr>
                        <w:r>
                          <w:rPr>
                            <w:sz w:val="28"/>
                          </w:rPr>
                          <w:t>参与集中的经营者简介</w:t>
                        </w:r>
                      </w:p>
                    </w:tc>
                    <w:tc>
                      <w:tcPr>
                        <w:tcW w:w="1796" w:type="dxa"/>
                      </w:tcPr>
                      <w:p>
                        <w:pPr>
                          <w:pStyle w:val="9"/>
                          <w:rPr>
                            <w:sz w:val="28"/>
                          </w:rPr>
                        </w:pPr>
                        <w:r>
                          <w:rPr>
                            <w:sz w:val="28"/>
                          </w:rPr>
                          <w:t>1、中升大连</w:t>
                        </w:r>
                      </w:p>
                    </w:tc>
                    <w:tc>
                      <w:tcPr>
                        <w:tcW w:w="5153" w:type="dxa"/>
                      </w:tcPr>
                      <w:p>
                        <w:pPr>
                          <w:pStyle w:val="9"/>
                          <w:spacing w:line="333" w:lineRule="auto"/>
                          <w:ind w:left="107" w:right="94"/>
                          <w:jc w:val="both"/>
                          <w:rPr>
                            <w:sz w:val="28"/>
                          </w:rPr>
                        </w:pPr>
                        <w:r>
                          <w:rPr>
                            <w:spacing w:val="8"/>
                            <w:sz w:val="28"/>
                          </w:rPr>
                          <w:t>是一家依据中华人民共和国法律设立并</w:t>
                        </w:r>
                        <w:r>
                          <w:rPr>
                            <w:spacing w:val="-12"/>
                            <w:sz w:val="28"/>
                          </w:rPr>
                          <w:t>存续的有限责任公司，主要通过其中国境</w:t>
                        </w:r>
                        <w:r>
                          <w:rPr>
                            <w:spacing w:val="8"/>
                            <w:sz w:val="28"/>
                          </w:rPr>
                          <w:t>内的关联企业在中国境内开展汽车及配</w:t>
                        </w:r>
                        <w:r>
                          <w:rPr>
                            <w:spacing w:val="-11"/>
                            <w:sz w:val="28"/>
                          </w:rPr>
                          <w:t>件销售、汽车维修、汽车装饰装潢、汽车</w:t>
                        </w:r>
                        <w:r>
                          <w:rPr>
                            <w:spacing w:val="-12"/>
                            <w:sz w:val="28"/>
                          </w:rPr>
                          <w:t>信息咨询业务，其中以乘用车销售业务为</w:t>
                        </w:r>
                      </w:p>
                      <w:p>
                        <w:pPr>
                          <w:pStyle w:val="9"/>
                          <w:spacing w:before="7"/>
                          <w:ind w:left="107"/>
                          <w:rPr>
                            <w:sz w:val="28"/>
                          </w:rPr>
                        </w:pPr>
                        <w:r>
                          <w:rPr>
                            <w:sz w:val="28"/>
                          </w:rPr>
                          <w:t>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7" w:hRule="atLeast"/>
                    </w:trPr>
                    <w:tc>
                      <w:tcPr>
                        <w:tcW w:w="1809" w:type="dxa"/>
                        <w:vMerge w:val="continue"/>
                        <w:tcBorders>
                          <w:top w:val="nil"/>
                        </w:tcBorders>
                        <w:shd w:val="clear" w:color="auto" w:fill="D9D9D9"/>
                      </w:tcPr>
                      <w:p>
                        <w:pPr>
                          <w:rPr>
                            <w:sz w:val="2"/>
                            <w:szCs w:val="2"/>
                          </w:rPr>
                        </w:pPr>
                      </w:p>
                    </w:tc>
                    <w:tc>
                      <w:tcPr>
                        <w:tcW w:w="1796" w:type="dxa"/>
                      </w:tcPr>
                      <w:p>
                        <w:pPr>
                          <w:pStyle w:val="9"/>
                          <w:spacing w:before="122" w:line="333" w:lineRule="auto"/>
                          <w:ind w:right="93"/>
                          <w:jc w:val="both"/>
                          <w:rPr>
                            <w:sz w:val="28"/>
                          </w:rPr>
                        </w:pPr>
                        <w:r>
                          <w:rPr>
                            <w:sz w:val="28"/>
                          </w:rPr>
                          <w:t>2、拟出售部分乘用车零售业务</w:t>
                        </w:r>
                      </w:p>
                    </w:tc>
                    <w:tc>
                      <w:tcPr>
                        <w:tcW w:w="5153" w:type="dxa"/>
                      </w:tcPr>
                      <w:p>
                        <w:pPr>
                          <w:pStyle w:val="9"/>
                          <w:spacing w:before="122" w:line="333" w:lineRule="auto"/>
                          <w:ind w:left="107" w:right="96"/>
                          <w:jc w:val="both"/>
                          <w:rPr>
                            <w:sz w:val="28"/>
                          </w:rPr>
                        </w:pPr>
                        <w:r>
                          <w:rPr>
                            <w:spacing w:val="-11"/>
                            <w:sz w:val="28"/>
                          </w:rPr>
                          <w:t>包括武汉宝利德汽车有限公司、孝感星宝</w:t>
                        </w:r>
                        <w:r>
                          <w:rPr>
                            <w:spacing w:val="-12"/>
                            <w:sz w:val="28"/>
                          </w:rPr>
                          <w:t>行汽车有限公司、景德镇宝利德汽车有限公司（含抚州分公司</w:t>
                        </w:r>
                        <w:r>
                          <w:rPr>
                            <w:spacing w:val="-140"/>
                            <w:sz w:val="28"/>
                          </w:rPr>
                          <w:t>）</w:t>
                        </w:r>
                        <w:r>
                          <w:rPr>
                            <w:sz w:val="28"/>
                          </w:rPr>
                          <w:t>、宁德宝利德汽车</w:t>
                        </w:r>
                        <w:r>
                          <w:rPr>
                            <w:spacing w:val="-12"/>
                            <w:sz w:val="28"/>
                          </w:rPr>
                          <w:t>有限公司、红河宝利德汽车销售服务有限</w:t>
                        </w:r>
                      </w:p>
                      <w:p>
                        <w:pPr>
                          <w:pStyle w:val="9"/>
                          <w:spacing w:before="4" w:line="357" w:lineRule="exact"/>
                          <w:ind w:left="107"/>
                          <w:rPr>
                            <w:sz w:val="28"/>
                          </w:rPr>
                        </w:pPr>
                        <w:r>
                          <w:rPr>
                            <w:spacing w:val="-12"/>
                            <w:sz w:val="28"/>
                          </w:rPr>
                          <w:t>公司、宜兴路德行汽车有限公司、景德镇</w:t>
                        </w:r>
                      </w:p>
                    </w:tc>
                  </w:tr>
                </w:tbl>
                <w:p>
                  <w:pPr>
                    <w:pStyle w:val="3"/>
                  </w:pPr>
                </w:p>
              </w:txbxContent>
            </v:textbox>
          </v:shape>
        </w:pict>
      </w:r>
      <w:r>
        <w:rPr>
          <w:w w:val="100"/>
        </w:rPr>
        <w:t>）</w:t>
      </w:r>
    </w:p>
    <w:p>
      <w:pPr>
        <w:spacing w:before="0" w:line="240" w:lineRule="auto"/>
        <w:rPr>
          <w:sz w:val="28"/>
        </w:rPr>
      </w:pPr>
    </w:p>
    <w:p>
      <w:pPr>
        <w:spacing w:before="0" w:line="240" w:lineRule="auto"/>
        <w:rPr>
          <w:sz w:val="28"/>
        </w:rPr>
      </w:pPr>
    </w:p>
    <w:p>
      <w:pPr>
        <w:spacing w:before="1" w:line="240" w:lineRule="auto"/>
        <w:rPr>
          <w:sz w:val="33"/>
        </w:rPr>
      </w:pPr>
    </w:p>
    <w:p>
      <w:pPr>
        <w:spacing w:before="0"/>
        <w:ind w:left="0" w:right="98" w:firstLine="0"/>
        <w:jc w:val="right"/>
        <w:rPr>
          <w:sz w:val="28"/>
        </w:rPr>
      </w:pPr>
      <w:r>
        <w:rPr>
          <w:w w:val="100"/>
          <w:sz w:val="28"/>
        </w:rPr>
        <w:t>）</w:t>
      </w:r>
    </w:p>
    <w:p>
      <w:pPr>
        <w:spacing w:after="0"/>
        <w:jc w:val="right"/>
        <w:rPr>
          <w:sz w:val="28"/>
        </w:rPr>
        <w:sectPr>
          <w:type w:val="continuous"/>
          <w:pgSz w:w="11910" w:h="16840"/>
          <w:pgMar w:top="1480" w:right="1320" w:bottom="280" w:left="1580" w:header="720" w:footer="720" w:gutter="0"/>
        </w:sect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9"/>
        <w:gridCol w:w="1796"/>
        <w:gridCol w:w="51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0" w:hRule="atLeast"/>
        </w:trPr>
        <w:tc>
          <w:tcPr>
            <w:tcW w:w="1809" w:type="dxa"/>
            <w:shd w:val="clear" w:color="auto" w:fill="D9D9D9"/>
          </w:tcPr>
          <w:p>
            <w:pPr>
              <w:pStyle w:val="9"/>
              <w:spacing w:before="0"/>
              <w:ind w:left="0"/>
              <w:rPr>
                <w:rFonts w:ascii="Times New Roman"/>
                <w:sz w:val="26"/>
              </w:rPr>
            </w:pPr>
          </w:p>
        </w:tc>
        <w:tc>
          <w:tcPr>
            <w:tcW w:w="1796" w:type="dxa"/>
          </w:tcPr>
          <w:p>
            <w:pPr>
              <w:pStyle w:val="9"/>
              <w:spacing w:before="0"/>
              <w:ind w:left="0"/>
              <w:rPr>
                <w:rFonts w:ascii="Times New Roman"/>
                <w:sz w:val="26"/>
              </w:rPr>
            </w:pPr>
          </w:p>
        </w:tc>
        <w:tc>
          <w:tcPr>
            <w:tcW w:w="5153" w:type="dxa"/>
          </w:tcPr>
          <w:p>
            <w:pPr>
              <w:pStyle w:val="9"/>
              <w:spacing w:before="121" w:line="333" w:lineRule="auto"/>
              <w:ind w:left="107" w:right="94"/>
              <w:jc w:val="both"/>
              <w:rPr>
                <w:sz w:val="28"/>
              </w:rPr>
            </w:pPr>
            <w:r>
              <w:rPr>
                <w:spacing w:val="-10"/>
                <w:sz w:val="28"/>
              </w:rPr>
              <w:t xml:space="preserve">路德行汽车有限公司 </w:t>
            </w:r>
            <w:r>
              <w:rPr>
                <w:rFonts w:ascii="Arial" w:eastAsia="Arial"/>
                <w:sz w:val="28"/>
              </w:rPr>
              <w:t xml:space="preserve">7 </w:t>
            </w:r>
            <w:r>
              <w:rPr>
                <w:spacing w:val="-18"/>
                <w:sz w:val="28"/>
              </w:rPr>
              <w:t>家公司。拟出售部</w:t>
            </w:r>
            <w:r>
              <w:rPr>
                <w:spacing w:val="8"/>
                <w:sz w:val="28"/>
              </w:rPr>
              <w:t>分乘用车零售业务主要通过汽车品牌经销服务店的方式在中国境内开展汽车及</w:t>
            </w:r>
            <w:r>
              <w:rPr>
                <w:spacing w:val="-12"/>
                <w:sz w:val="28"/>
              </w:rPr>
              <w:t>配件销售、汽车维修、汽车保险、汽车金</w:t>
            </w:r>
          </w:p>
          <w:p>
            <w:pPr>
              <w:pStyle w:val="9"/>
              <w:spacing w:before="5"/>
              <w:ind w:left="107"/>
              <w:rPr>
                <w:sz w:val="28"/>
              </w:rPr>
            </w:pPr>
            <w:r>
              <w:rPr>
                <w:sz w:val="28"/>
              </w:rPr>
              <w:t>融等业务。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809" w:type="dxa"/>
            <w:vMerge w:val="restart"/>
            <w:shd w:val="clear" w:color="auto" w:fill="D9D9D9"/>
          </w:tcPr>
          <w:p>
            <w:pPr>
              <w:pStyle w:val="9"/>
              <w:spacing w:before="122" w:line="333" w:lineRule="auto"/>
              <w:ind w:left="107" w:right="95"/>
              <w:jc w:val="both"/>
              <w:rPr>
                <w:sz w:val="28"/>
              </w:rPr>
            </w:pPr>
            <w:r>
              <w:rPr>
                <w:spacing w:val="34"/>
                <w:sz w:val="28"/>
              </w:rPr>
              <w:t>简易案件理</w:t>
            </w:r>
            <w:r>
              <w:rPr>
                <w:spacing w:val="47"/>
                <w:sz w:val="28"/>
              </w:rPr>
              <w:t>由</w:t>
            </w:r>
            <w:r>
              <w:rPr>
                <w:sz w:val="28"/>
              </w:rPr>
              <w:t>（</w:t>
            </w:r>
            <w:r>
              <w:rPr>
                <w:spacing w:val="-4"/>
                <w:sz w:val="28"/>
              </w:rPr>
              <w:t xml:space="preserve"> 可以单</w:t>
            </w:r>
            <w:r>
              <w:rPr>
                <w:spacing w:val="-19"/>
                <w:sz w:val="28"/>
              </w:rPr>
              <w:t>选，也可以多</w:t>
            </w:r>
            <w:r>
              <w:rPr>
                <w:sz w:val="28"/>
              </w:rPr>
              <w:t>选）</w:t>
            </w:r>
          </w:p>
        </w:tc>
        <w:tc>
          <w:tcPr>
            <w:tcW w:w="6949" w:type="dxa"/>
            <w:gridSpan w:val="2"/>
          </w:tcPr>
          <w:p>
            <w:pPr>
              <w:pStyle w:val="9"/>
              <w:spacing w:before="2" w:line="500" w:lineRule="exact"/>
              <w:ind w:right="94"/>
              <w:rPr>
                <w:sz w:val="28"/>
              </w:rPr>
            </w:pPr>
            <w:r>
              <w:rPr>
                <w:rFonts w:ascii="Wingdings 2" w:hAnsi="Wingdings 2" w:eastAsia="Wingdings 2"/>
                <w:spacing w:val="-1"/>
                <w:sz w:val="28"/>
              </w:rPr>
              <w:t></w:t>
            </w:r>
            <w:r>
              <w:rPr>
                <w:spacing w:val="-1"/>
                <w:sz w:val="28"/>
              </w:rPr>
              <w:t>1</w:t>
            </w:r>
            <w:r>
              <w:rPr>
                <w:spacing w:val="-12"/>
                <w:sz w:val="28"/>
              </w:rPr>
              <w:t>、在同一相关市场，所有参与集中的经营者所占市场</w:t>
            </w:r>
            <w:r>
              <w:rPr>
                <w:spacing w:val="-15"/>
                <w:sz w:val="28"/>
              </w:rPr>
              <w:t xml:space="preserve">份额之和小于 </w:t>
            </w:r>
            <w:r>
              <w:rPr>
                <w:sz w:val="28"/>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 w:hRule="atLeast"/>
        </w:trPr>
        <w:tc>
          <w:tcPr>
            <w:tcW w:w="1809" w:type="dxa"/>
            <w:vMerge w:val="continue"/>
            <w:tcBorders>
              <w:top w:val="nil"/>
            </w:tcBorders>
            <w:shd w:val="clear" w:color="auto" w:fill="D9D9D9"/>
          </w:tcPr>
          <w:p>
            <w:pPr>
              <w:rPr>
                <w:sz w:val="2"/>
                <w:szCs w:val="2"/>
              </w:rPr>
            </w:pPr>
          </w:p>
        </w:tc>
        <w:tc>
          <w:tcPr>
            <w:tcW w:w="6949" w:type="dxa"/>
            <w:gridSpan w:val="2"/>
          </w:tcPr>
          <w:p>
            <w:pPr>
              <w:pStyle w:val="9"/>
              <w:spacing w:before="118"/>
              <w:rPr>
                <w:sz w:val="28"/>
              </w:rPr>
            </w:pPr>
            <w:r>
              <w:rPr>
                <w:sz w:val="28"/>
              </w:rPr>
              <w:t>□2</w:t>
            </w:r>
            <w:r>
              <w:rPr>
                <w:spacing w:val="-14"/>
                <w:sz w:val="28"/>
              </w:rPr>
              <w:t>、存在上下游关系的参与集中的经营者，在上下游市</w:t>
            </w:r>
          </w:p>
          <w:p>
            <w:pPr>
              <w:pStyle w:val="9"/>
              <w:spacing w:before="143" w:line="358" w:lineRule="exact"/>
              <w:rPr>
                <w:sz w:val="28"/>
              </w:rPr>
            </w:pPr>
            <w:r>
              <w:rPr>
                <w:sz w:val="28"/>
              </w:rPr>
              <w:t>场所占的市场份额均小于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1809" w:type="dxa"/>
            <w:vMerge w:val="continue"/>
            <w:tcBorders>
              <w:top w:val="nil"/>
            </w:tcBorders>
            <w:shd w:val="clear" w:color="auto" w:fill="D9D9D9"/>
          </w:tcPr>
          <w:p>
            <w:pPr>
              <w:rPr>
                <w:sz w:val="2"/>
                <w:szCs w:val="2"/>
              </w:rPr>
            </w:pPr>
          </w:p>
        </w:tc>
        <w:tc>
          <w:tcPr>
            <w:tcW w:w="6949" w:type="dxa"/>
            <w:gridSpan w:val="2"/>
          </w:tcPr>
          <w:p>
            <w:pPr>
              <w:pStyle w:val="9"/>
              <w:rPr>
                <w:sz w:val="28"/>
              </w:rPr>
            </w:pPr>
            <w:r>
              <w:rPr>
                <w:sz w:val="28"/>
              </w:rPr>
              <w:t>□3</w:t>
            </w:r>
            <w:r>
              <w:rPr>
                <w:spacing w:val="-13"/>
                <w:sz w:val="28"/>
              </w:rPr>
              <w:t>、不在同一相关市场、也不存在上下游关系的参与集</w:t>
            </w:r>
          </w:p>
          <w:p>
            <w:pPr>
              <w:pStyle w:val="9"/>
              <w:spacing w:before="2" w:line="500" w:lineRule="atLeast"/>
              <w:ind w:right="94"/>
              <w:rPr>
                <w:sz w:val="28"/>
              </w:rPr>
            </w:pPr>
            <w:r>
              <w:rPr>
                <w:sz w:val="28"/>
              </w:rPr>
              <w:t>中的经营者，在与交易有关的每个市场所占的份额均小于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809" w:type="dxa"/>
            <w:vMerge w:val="continue"/>
            <w:tcBorders>
              <w:top w:val="nil"/>
            </w:tcBorders>
            <w:shd w:val="clear" w:color="auto" w:fill="D9D9D9"/>
          </w:tcPr>
          <w:p>
            <w:pPr>
              <w:rPr>
                <w:sz w:val="2"/>
                <w:szCs w:val="2"/>
              </w:rPr>
            </w:pPr>
          </w:p>
        </w:tc>
        <w:tc>
          <w:tcPr>
            <w:tcW w:w="6949" w:type="dxa"/>
            <w:gridSpan w:val="2"/>
          </w:tcPr>
          <w:p>
            <w:pPr>
              <w:pStyle w:val="9"/>
              <w:rPr>
                <w:sz w:val="28"/>
              </w:rPr>
            </w:pPr>
            <w:r>
              <w:rPr>
                <w:sz w:val="28"/>
              </w:rPr>
              <w:t>□4</w:t>
            </w:r>
            <w:r>
              <w:rPr>
                <w:spacing w:val="-13"/>
                <w:sz w:val="28"/>
              </w:rPr>
              <w:t>、参与集中的经营者在中国境外设立合营企业，合营</w:t>
            </w:r>
          </w:p>
          <w:p>
            <w:pPr>
              <w:pStyle w:val="9"/>
              <w:spacing w:before="143" w:line="358" w:lineRule="exact"/>
              <w:rPr>
                <w:sz w:val="28"/>
              </w:rPr>
            </w:pPr>
            <w:r>
              <w:rPr>
                <w:sz w:val="28"/>
              </w:rPr>
              <w:t>企业不在中国境内从事经济活动。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809" w:type="dxa"/>
            <w:vMerge w:val="continue"/>
            <w:tcBorders>
              <w:top w:val="nil"/>
            </w:tcBorders>
            <w:shd w:val="clear" w:color="auto" w:fill="D9D9D9"/>
          </w:tcPr>
          <w:p>
            <w:pPr>
              <w:rPr>
                <w:sz w:val="2"/>
                <w:szCs w:val="2"/>
              </w:rPr>
            </w:pPr>
          </w:p>
        </w:tc>
        <w:tc>
          <w:tcPr>
            <w:tcW w:w="6949" w:type="dxa"/>
            <w:gridSpan w:val="2"/>
          </w:tcPr>
          <w:p>
            <w:pPr>
              <w:pStyle w:val="9"/>
              <w:rPr>
                <w:sz w:val="28"/>
              </w:rPr>
            </w:pPr>
            <w:r>
              <w:rPr>
                <w:sz w:val="28"/>
              </w:rPr>
              <w:t>□5</w:t>
            </w:r>
            <w:r>
              <w:rPr>
                <w:spacing w:val="-13"/>
                <w:sz w:val="28"/>
              </w:rPr>
              <w:t>、参与集中的经营者收购境外企业股权或资产的，该</w:t>
            </w:r>
          </w:p>
          <w:p>
            <w:pPr>
              <w:pStyle w:val="9"/>
              <w:spacing w:before="143" w:line="358" w:lineRule="exact"/>
              <w:rPr>
                <w:sz w:val="28"/>
              </w:rPr>
            </w:pPr>
            <w:r>
              <w:rPr>
                <w:sz w:val="28"/>
              </w:rPr>
              <w:t>境外企业不在中国境内从事经济活动。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809" w:type="dxa"/>
            <w:vMerge w:val="continue"/>
            <w:tcBorders>
              <w:top w:val="nil"/>
            </w:tcBorders>
            <w:shd w:val="clear" w:color="auto" w:fill="D9D9D9"/>
          </w:tcPr>
          <w:p>
            <w:pPr>
              <w:rPr>
                <w:sz w:val="2"/>
                <w:szCs w:val="2"/>
              </w:rPr>
            </w:pPr>
          </w:p>
        </w:tc>
        <w:tc>
          <w:tcPr>
            <w:tcW w:w="6949" w:type="dxa"/>
            <w:gridSpan w:val="2"/>
          </w:tcPr>
          <w:p>
            <w:pPr>
              <w:pStyle w:val="9"/>
              <w:spacing w:before="1" w:line="500" w:lineRule="exact"/>
              <w:ind w:right="96"/>
              <w:rPr>
                <w:sz w:val="28"/>
              </w:rPr>
            </w:pPr>
            <w:r>
              <w:rPr>
                <w:spacing w:val="-1"/>
                <w:sz w:val="28"/>
              </w:rPr>
              <w:t>□6</w:t>
            </w:r>
            <w:r>
              <w:rPr>
                <w:spacing w:val="-13"/>
                <w:sz w:val="28"/>
              </w:rPr>
              <w:t>、由两个以上的经营者共同控制的合营企业，通过集</w:t>
            </w:r>
            <w:r>
              <w:rPr>
                <w:spacing w:val="-5"/>
                <w:sz w:val="28"/>
              </w:rPr>
              <w:t>中被其中一个或一个以上经营者控制。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809" w:type="dxa"/>
            <w:shd w:val="clear" w:color="auto" w:fill="D9D9D9"/>
          </w:tcPr>
          <w:p>
            <w:pPr>
              <w:pStyle w:val="9"/>
              <w:ind w:left="107"/>
              <w:rPr>
                <w:sz w:val="28"/>
              </w:rPr>
            </w:pPr>
            <w:r>
              <w:rPr>
                <w:sz w:val="28"/>
              </w:rPr>
              <w:t>备注</w:t>
            </w:r>
          </w:p>
        </w:tc>
        <w:tc>
          <w:tcPr>
            <w:tcW w:w="6949" w:type="dxa"/>
            <w:gridSpan w:val="2"/>
          </w:tcPr>
          <w:p>
            <w:pPr>
              <w:pStyle w:val="8"/>
              <w:numPr>
                <w:ilvl w:val="0"/>
                <w:numId w:val="1"/>
              </w:numPr>
              <w:spacing w:line="500" w:lineRule="exact"/>
              <w:ind w:firstLineChars="0"/>
              <w:rPr>
                <w:rFonts w:ascii="Arial" w:hAnsi="Arial" w:eastAsia="仿宋_GB2312" w:cs="Arial"/>
                <w:sz w:val="28"/>
                <w:szCs w:val="28"/>
              </w:rPr>
            </w:pPr>
            <w:r>
              <w:rPr>
                <w:rFonts w:ascii="Arial" w:hAnsi="Arial" w:eastAsia="仿宋_GB2312" w:cs="Arial"/>
                <w:sz w:val="28"/>
                <w:szCs w:val="28"/>
              </w:rPr>
              <w:t>相关产品市场：</w:t>
            </w:r>
          </w:p>
          <w:p>
            <w:pPr>
              <w:pStyle w:val="8"/>
              <w:numPr>
                <w:ilvl w:val="0"/>
                <w:numId w:val="0"/>
              </w:numPr>
              <w:spacing w:line="500" w:lineRule="exact"/>
              <w:ind w:left="360" w:leftChars="0" w:right="0" w:rightChars="0"/>
              <w:rPr>
                <w:rFonts w:ascii="Arial" w:hAnsi="Arial" w:eastAsia="仿宋_GB2312" w:cs="Arial"/>
                <w:sz w:val="28"/>
                <w:szCs w:val="28"/>
              </w:rPr>
            </w:pPr>
            <w:r>
              <w:rPr>
                <w:rFonts w:hint="eastAsia" w:ascii="Arial" w:hAnsi="Arial" w:eastAsia="仿宋_GB2312" w:cs="Arial"/>
                <w:sz w:val="28"/>
                <w:szCs w:val="28"/>
              </w:rPr>
              <w:t>豪华品牌乘用车零售市场</w:t>
            </w:r>
          </w:p>
          <w:p>
            <w:pPr>
              <w:pStyle w:val="8"/>
              <w:numPr>
                <w:ilvl w:val="0"/>
                <w:numId w:val="1"/>
              </w:numPr>
              <w:spacing w:line="500" w:lineRule="exact"/>
              <w:ind w:firstLineChars="0"/>
              <w:rPr>
                <w:rFonts w:ascii="Arial" w:hAnsi="Arial" w:eastAsia="仿宋_GB2312" w:cs="Arial"/>
                <w:sz w:val="28"/>
                <w:szCs w:val="28"/>
              </w:rPr>
            </w:pPr>
            <w:r>
              <w:rPr>
                <w:rFonts w:ascii="Arial" w:hAnsi="Arial" w:eastAsia="仿宋_GB2312" w:cs="Arial"/>
                <w:sz w:val="28"/>
                <w:szCs w:val="28"/>
              </w:rPr>
              <w:t>相关地域市场：</w:t>
            </w:r>
          </w:p>
          <w:p>
            <w:pPr>
              <w:pStyle w:val="8"/>
              <w:numPr>
                <w:ilvl w:val="0"/>
                <w:numId w:val="0"/>
              </w:numPr>
              <w:spacing w:line="500" w:lineRule="exact"/>
              <w:ind w:left="360" w:leftChars="0" w:right="0" w:rightChars="0"/>
              <w:rPr>
                <w:rFonts w:ascii="Arial" w:hAnsi="Arial" w:eastAsia="仿宋_GB2312" w:cs="Arial"/>
                <w:sz w:val="28"/>
                <w:szCs w:val="28"/>
              </w:rPr>
            </w:pPr>
            <w:r>
              <w:rPr>
                <w:rFonts w:hint="eastAsia" w:ascii="Arial" w:hAnsi="Arial" w:eastAsia="仿宋_GB2312" w:cs="Arial"/>
                <w:sz w:val="28"/>
                <w:szCs w:val="28"/>
                <w:lang w:eastAsia="zh-CN"/>
              </w:rPr>
              <w:t>武汉市</w:t>
            </w:r>
          </w:p>
          <w:p>
            <w:pPr>
              <w:pStyle w:val="8"/>
              <w:numPr>
                <w:ilvl w:val="0"/>
                <w:numId w:val="1"/>
              </w:numPr>
              <w:spacing w:line="500" w:lineRule="exact"/>
              <w:ind w:firstLineChars="0"/>
              <w:rPr>
                <w:rFonts w:ascii="Arial" w:hAnsi="Arial" w:eastAsia="仿宋_GB2312" w:cs="Arial"/>
                <w:sz w:val="28"/>
                <w:szCs w:val="28"/>
              </w:rPr>
            </w:pPr>
            <w:r>
              <w:rPr>
                <w:rFonts w:ascii="Arial" w:hAnsi="Arial" w:eastAsia="仿宋_GB2312" w:cs="Arial"/>
                <w:sz w:val="28"/>
                <w:szCs w:val="28"/>
              </w:rPr>
              <w:t>相关市场份额：</w:t>
            </w:r>
          </w:p>
          <w:p>
            <w:pPr>
              <w:pStyle w:val="8"/>
              <w:numPr>
                <w:ilvl w:val="0"/>
                <w:numId w:val="0"/>
              </w:numPr>
              <w:spacing w:line="500" w:lineRule="exact"/>
              <w:ind w:left="360" w:leftChars="0" w:right="0" w:rightChars="0"/>
              <w:rPr>
                <w:rFonts w:ascii="Arial" w:hAnsi="Arial" w:eastAsia="仿宋_GB2312" w:cs="Arial"/>
                <w:sz w:val="28"/>
                <w:szCs w:val="28"/>
              </w:rPr>
            </w:pPr>
            <w:r>
              <w:rPr>
                <w:rFonts w:hint="eastAsia" w:ascii="Arial" w:hAnsi="Arial" w:eastAsia="仿宋_GB2312" w:cs="Arial"/>
                <w:sz w:val="28"/>
                <w:szCs w:val="28"/>
                <w:lang w:eastAsia="zh-CN"/>
              </w:rPr>
              <w:t>武汉市</w:t>
            </w:r>
            <w:r>
              <w:rPr>
                <w:rFonts w:hint="eastAsia" w:ascii="Arial" w:hAnsi="Arial" w:eastAsia="仿宋_GB2312" w:cs="Arial"/>
                <w:sz w:val="28"/>
                <w:szCs w:val="28"/>
              </w:rPr>
              <w:t>豪华品牌乘用车零售市场：</w:t>
            </w:r>
          </w:p>
          <w:p>
            <w:pPr>
              <w:pStyle w:val="8"/>
              <w:spacing w:line="500" w:lineRule="exact"/>
              <w:ind w:left="720" w:firstLine="0" w:firstLineChars="0"/>
              <w:rPr>
                <w:rFonts w:ascii="Arial" w:hAnsi="Arial" w:eastAsia="仿宋_GB2312" w:cs="Arial"/>
                <w:sz w:val="28"/>
                <w:szCs w:val="28"/>
              </w:rPr>
            </w:pPr>
            <w:r>
              <w:rPr>
                <w:rFonts w:hint="eastAsia" w:ascii="Arial" w:hAnsi="Arial" w:eastAsia="仿宋_GB2312" w:cs="Arial"/>
                <w:sz w:val="28"/>
                <w:szCs w:val="28"/>
              </w:rPr>
              <w:t>中升大连[0-5]%</w:t>
            </w:r>
          </w:p>
          <w:p>
            <w:pPr>
              <w:pStyle w:val="8"/>
              <w:spacing w:line="500" w:lineRule="exact"/>
              <w:ind w:left="720" w:firstLine="0" w:firstLineChars="0"/>
              <w:rPr>
                <w:rFonts w:ascii="Times New Roman"/>
                <w:sz w:val="26"/>
              </w:rPr>
            </w:pPr>
            <w:r>
              <w:rPr>
                <w:rFonts w:hint="eastAsia" w:ascii="Arial" w:hAnsi="Arial" w:eastAsia="仿宋_GB2312" w:cs="Arial"/>
                <w:sz w:val="28"/>
                <w:szCs w:val="28"/>
              </w:rPr>
              <w:t>拟出售部分乘用车零售业务[0-5]%</w:t>
            </w:r>
          </w:p>
        </w:tc>
      </w:tr>
    </w:tbl>
    <w:p>
      <w:pPr>
        <w:spacing w:before="12" w:line="240" w:lineRule="auto"/>
        <w:rPr>
          <w:sz w:val="9"/>
        </w:rPr>
      </w:pPr>
    </w:p>
    <w:p>
      <w:pPr>
        <w:pStyle w:val="3"/>
        <w:spacing w:before="66" w:line="298" w:lineRule="exact"/>
        <w:ind w:left="220"/>
      </w:pPr>
      <w:r>
        <w:t>注解：</w:t>
      </w:r>
    </w:p>
    <w:p>
      <w:pPr>
        <w:pStyle w:val="3"/>
        <w:spacing w:line="364" w:lineRule="auto"/>
        <w:ind w:left="220" w:right="477" w:firstLine="480"/>
        <w:jc w:val="both"/>
      </w:pPr>
      <w:r>
        <w:t>1</w:t>
      </w:r>
      <w:r>
        <w:rPr>
          <w:spacing w:val="-4"/>
        </w:rPr>
        <w:t xml:space="preserve">、申报方申请简易案件的理由是基于 </w:t>
      </w:r>
      <w:r>
        <w:t>1-3</w:t>
      </w:r>
      <w:r>
        <w:rPr>
          <w:spacing w:val="-8"/>
        </w:rPr>
        <w:t xml:space="preserve"> 项时，须在备注中说明界定的相关商品市场和相关地域市场（无须阐述界定理由</w:t>
      </w:r>
      <w:r>
        <w:rPr>
          <w:spacing w:val="-120"/>
        </w:rPr>
        <w:t>）</w:t>
      </w:r>
      <w:r>
        <w:t>，以及相关市场份额；市场份额可以区间形式提供</w:t>
      </w:r>
      <w:r>
        <w:rPr>
          <w:spacing w:val="-24"/>
        </w:rPr>
        <w:t>，</w:t>
      </w:r>
      <w:r>
        <w:t>区间幅度不应超过</w:t>
      </w:r>
      <w:r>
        <w:rPr>
          <w:spacing w:val="-60"/>
        </w:rPr>
        <w:t xml:space="preserve"> </w:t>
      </w:r>
      <w:r>
        <w:rPr>
          <w:spacing w:val="5"/>
        </w:rPr>
        <w:t>5</w:t>
      </w:r>
      <w:r>
        <w:rPr>
          <w:spacing w:val="5"/>
        </w:rPr>
        <w:drawing>
          <wp:inline distT="0" distB="0" distL="0" distR="0">
            <wp:extent cx="69215" cy="10731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69849" cy="107949"/>
                    </a:xfrm>
                    <a:prstGeom prst="rect">
                      <a:avLst/>
                    </a:prstGeom>
                  </pic:spPr>
                </pic:pic>
              </a:graphicData>
            </a:graphic>
          </wp:inline>
        </w:drawing>
      </w:r>
      <w:r>
        <w:rPr>
          <w:spacing w:val="-24"/>
        </w:rPr>
        <w:t>。</w:t>
      </w:r>
      <w:r>
        <w:t>1-3</w:t>
      </w:r>
      <w:r>
        <w:rPr>
          <w:spacing w:val="-60"/>
        </w:rPr>
        <w:t xml:space="preserve"> </w:t>
      </w:r>
      <w:r>
        <w:t>项可以多选</w:t>
      </w:r>
      <w:r>
        <w:rPr>
          <w:spacing w:val="-24"/>
        </w:rPr>
        <w:t>，</w:t>
      </w:r>
      <w:r>
        <w:t>也可单选</w:t>
      </w:r>
      <w:r>
        <w:rPr>
          <w:spacing w:val="-22"/>
        </w:rPr>
        <w:t>；</w:t>
      </w:r>
      <w:r>
        <w:t>没</w:t>
      </w:r>
      <w:r>
        <w:rPr>
          <w:spacing w:val="-12"/>
        </w:rPr>
        <w:t>有</w:t>
      </w:r>
      <w:r>
        <w:t>勾选的，视为本集中不涉及该类型交易。</w:t>
      </w:r>
    </w:p>
    <w:p>
      <w:pPr>
        <w:pStyle w:val="3"/>
        <w:spacing w:before="67" w:line="364" w:lineRule="auto"/>
        <w:ind w:left="220" w:right="480" w:firstLine="480"/>
        <w:jc w:val="both"/>
      </w:pPr>
      <w:r>
        <w:t>2</w:t>
      </w:r>
      <w:r>
        <w:rPr>
          <w:spacing w:val="-4"/>
        </w:rPr>
        <w:t xml:space="preserve">、申报方申请简易案件的理由是基于第 </w:t>
      </w:r>
      <w:r>
        <w:t>4</w:t>
      </w:r>
      <w:r>
        <w:rPr>
          <w:spacing w:val="-24"/>
        </w:rPr>
        <w:t xml:space="preserve"> 项、第 </w:t>
      </w:r>
      <w:r>
        <w:t>5</w:t>
      </w:r>
      <w:r>
        <w:rPr>
          <w:spacing w:val="-9"/>
        </w:rPr>
        <w:t xml:space="preserve"> 项时，无须在备注中说</w:t>
      </w:r>
      <w:r>
        <w:t>明相关市场和市场份额。</w:t>
      </w:r>
    </w:p>
    <w:p>
      <w:pPr>
        <w:pStyle w:val="3"/>
        <w:spacing w:before="1" w:line="364" w:lineRule="auto"/>
        <w:ind w:left="220" w:right="477" w:firstLine="480"/>
      </w:pPr>
      <w:r>
        <w:t>3</w:t>
      </w:r>
      <w:r>
        <w:rPr>
          <w:spacing w:val="-1"/>
        </w:rPr>
        <w:t>、由两个或两个以上经营者共同控制的合营企业，通过集中被其中的一个</w:t>
      </w:r>
      <w:r>
        <w:rPr>
          <w:spacing w:val="-10"/>
        </w:rPr>
        <w:t>经营者控制，如果该经营者与合营企业属于同一相关市场的竞争者，则申报方在</w:t>
      </w:r>
    </w:p>
    <w:p>
      <w:pPr>
        <w:spacing w:after="0" w:line="364" w:lineRule="auto"/>
        <w:sectPr>
          <w:pgSz w:w="11910" w:h="16840"/>
          <w:pgMar w:top="1420" w:right="1320" w:bottom="280" w:left="1580" w:header="720" w:footer="720" w:gutter="0"/>
        </w:sectPr>
      </w:pPr>
    </w:p>
    <w:p>
      <w:pPr>
        <w:pStyle w:val="3"/>
        <w:spacing w:before="42" w:line="364" w:lineRule="auto"/>
        <w:ind w:left="220" w:right="477"/>
        <w:jc w:val="both"/>
      </w:pPr>
      <w:r>
        <w:rPr>
          <w:spacing w:val="-10"/>
        </w:rPr>
        <w:t xml:space="preserve">申请简易案件时，须同时勾选第 </w:t>
      </w:r>
      <w:r>
        <w:t>1</w:t>
      </w:r>
      <w:r>
        <w:rPr>
          <w:spacing w:val="-24"/>
        </w:rPr>
        <w:t xml:space="preserve"> 项和第 </w:t>
      </w:r>
      <w:r>
        <w:t>6</w:t>
      </w:r>
      <w:r>
        <w:rPr>
          <w:spacing w:val="-12"/>
        </w:rPr>
        <w:t xml:space="preserve"> 项理由，并在备注中说明界定的相关</w:t>
      </w:r>
      <w:r>
        <w:t>商品市场和相关地域市场（无须阐述界定理由</w:t>
      </w:r>
      <w:r>
        <w:rPr>
          <w:spacing w:val="-118"/>
        </w:rPr>
        <w:t>）</w:t>
      </w:r>
      <w:r>
        <w:rPr>
          <w:spacing w:val="-1"/>
        </w:rPr>
        <w:t>，以及相关市场份额。市场份额</w:t>
      </w:r>
      <w:r>
        <w:t>可以区间形式提供，区间幅度不应超过</w:t>
      </w:r>
      <w:r>
        <w:rPr>
          <w:spacing w:val="-60"/>
        </w:rPr>
        <w:t xml:space="preserve"> </w:t>
      </w:r>
      <w:r>
        <w:rPr>
          <w:spacing w:val="5"/>
        </w:rPr>
        <w:t>5</w:t>
      </w:r>
      <w:r>
        <w:rPr>
          <w:spacing w:val="5"/>
        </w:rPr>
        <w:drawing>
          <wp:inline distT="0" distB="0" distL="0" distR="0">
            <wp:extent cx="69215" cy="10731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4" cstate="print"/>
                    <a:stretch>
                      <a:fillRect/>
                    </a:stretch>
                  </pic:blipFill>
                  <pic:spPr>
                    <a:xfrm>
                      <a:off x="0" y="0"/>
                      <a:ext cx="69849" cy="107949"/>
                    </a:xfrm>
                    <a:prstGeom prst="rect">
                      <a:avLst/>
                    </a:prstGeom>
                  </pic:spPr>
                </pic:pic>
              </a:graphicData>
            </a:graphic>
          </wp:inline>
        </w:drawing>
      </w:r>
      <w:r>
        <w:t>。</w:t>
      </w:r>
    </w:p>
    <w:sectPr>
      <w:pgSz w:w="11910" w:h="16840"/>
      <w:pgMar w:top="1460" w:right="1320" w:bottom="280" w:left="15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DB2F1C"/>
    <w:multiLevelType w:val="multilevel"/>
    <w:tmpl w:val="6ADB2F1C"/>
    <w:lvl w:ilvl="0" w:tentative="0">
      <w:start w:val="1"/>
      <w:numFmt w:val="decimal"/>
      <w:lvlText w:val="%1."/>
      <w:lvlJc w:val="left"/>
      <w:pPr>
        <w:ind w:left="360" w:hanging="360"/>
      </w:pPr>
      <w:rPr>
        <w:rFonts w:hint="default" w:ascii="Arial" w:hAnsi="Arial" w:eastAsia="仿宋_GB2312" w:cs="Arial"/>
        <w:sz w:val="28"/>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20AB2E10"/>
    <w:rsid w:val="66F97C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仿宋" w:hAnsi="仿宋" w:eastAsia="仿宋" w:cs="仿宋"/>
      <w:sz w:val="22"/>
      <w:szCs w:val="22"/>
      <w:lang w:val="zh-CN" w:eastAsia="zh-CN" w:bidi="zh-CN"/>
    </w:rPr>
  </w:style>
  <w:style w:type="paragraph" w:styleId="2">
    <w:name w:val="heading 1"/>
    <w:basedOn w:val="1"/>
    <w:next w:val="1"/>
    <w:qFormat/>
    <w:uiPriority w:val="1"/>
    <w:pPr>
      <w:ind w:right="98"/>
      <w:jc w:val="right"/>
      <w:outlineLvl w:val="1"/>
    </w:pPr>
    <w:rPr>
      <w:rFonts w:ascii="仿宋" w:hAnsi="仿宋" w:eastAsia="仿宋" w:cs="仿宋"/>
      <w:sz w:val="28"/>
      <w:szCs w:val="28"/>
      <w:lang w:val="zh-CN" w:eastAsia="zh-CN" w:bidi="zh-CN"/>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rFonts w:ascii="楷体" w:hAnsi="楷体" w:eastAsia="楷体" w:cs="楷体"/>
      <w:sz w:val="24"/>
      <w:szCs w:val="24"/>
      <w:lang w:val="zh-CN" w:eastAsia="zh-CN" w:bidi="zh-CN"/>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zh-CN" w:eastAsia="zh-CN" w:bidi="zh-CN"/>
    </w:rPr>
  </w:style>
  <w:style w:type="paragraph" w:customStyle="1" w:styleId="9">
    <w:name w:val="Table Paragraph"/>
    <w:basedOn w:val="1"/>
    <w:qFormat/>
    <w:uiPriority w:val="1"/>
    <w:pPr>
      <w:spacing w:before="120"/>
      <w:ind w:left="108"/>
    </w:pPr>
    <w:rPr>
      <w:rFonts w:ascii="仿宋" w:hAnsi="仿宋" w:eastAsia="仿宋" w:cs="仿宋"/>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ScaleCrop>false</ScaleCrop>
  <LinksUpToDate>false</LinksUpToDate>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2020-04-24T05:02:00Z</dcterms:created>
  <dc:creator>dell</dc:creator>
  <cp:lastModifiedBy>想你</cp:lastModifiedBy>
  <dcterms:modified xsi:type="dcterms:W3CDTF">2020-04-29T01:56:23Z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2020-04-21T00:00:00Z</vt:filetime>
  </property>
  <property fmtid="{D5CDD505-2E9C-101B-9397-08002B2CF9AE}" pid="3" name="Creator">
    <vt:lpwstr>WPS 文字</vt:lpwstr>
  </property>
  <property fmtid="{D5CDD505-2E9C-101B-9397-08002B2CF9AE}" pid="4" name="LastSaved">
    <vt:filetime>2020-04-24T00:00:00Z</vt:filetime>
  </property>
  <property fmtid="{D5CDD505-2E9C-101B-9397-08002B2CF9AE}" pid="5" name="KSOProductBuildVer">
    <vt:lpwstr>2052-11.1.0.9440</vt:lpwstr>
  </property>
</Properties>
</file>