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ascii="Times New Roman" w:hAnsi="Times New Roman"/>
          <w:b/>
          <w:szCs w:val="21"/>
        </w:rPr>
        <w:t>附件2</w:t>
      </w:r>
    </w:p>
    <w:p>
      <w:pPr>
        <w:spacing w:line="440" w:lineRule="exact"/>
        <w:jc w:val="center"/>
        <w:rPr>
          <w:rFonts w:ascii="Times New Roman" w:hAnsi="Times New Roman"/>
          <w:sz w:val="30"/>
          <w:szCs w:val="30"/>
        </w:rPr>
      </w:pPr>
      <w:r>
        <w:rPr>
          <w:rFonts w:ascii="Times New Roman" w:hAnsi="Times New Roman"/>
          <w:sz w:val="30"/>
          <w:szCs w:val="30"/>
        </w:rPr>
        <w:t>经营者集中简易案件公示表</w:t>
      </w:r>
    </w:p>
    <w:p>
      <w:pPr>
        <w:spacing w:line="440" w:lineRule="exact"/>
        <w:rPr>
          <w:rFonts w:ascii="Times New Roman" w:hAnsi="Times New Roman"/>
          <w:sz w:val="28"/>
          <w:szCs w:val="28"/>
        </w:rPr>
      </w:pPr>
    </w:p>
    <w:p>
      <w:pPr>
        <w:spacing w:line="440" w:lineRule="exact"/>
        <w:ind w:firstLine="845" w:firstLineChars="302"/>
        <w:rPr>
          <w:rFonts w:ascii="Times New Roman" w:hAnsi="Times New Roman"/>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深圳市深业实业有限公司收购阳江市广宝田汽车销售服务有限公司等六家公司股权案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（限200字内）</w:t>
            </w:r>
          </w:p>
        </w:tc>
        <w:tc>
          <w:tcPr>
            <w:tcW w:w="6949" w:type="dxa"/>
            <w:gridSpan w:val="2"/>
          </w:tcPr>
          <w:p>
            <w:pPr>
              <w:spacing w:line="500" w:lineRule="exact"/>
              <w:rPr>
                <w:rFonts w:ascii="Times New Roman" w:hAnsi="Times New Roman"/>
                <w:sz w:val="24"/>
                <w:szCs w:val="28"/>
              </w:rPr>
            </w:pPr>
            <w:r>
              <w:rPr>
                <w:rFonts w:ascii="Times New Roman" w:hAnsi="Times New Roman"/>
                <w:sz w:val="24"/>
                <w:szCs w:val="28"/>
              </w:rPr>
              <w:t>根据</w:t>
            </w:r>
            <w:r>
              <w:rPr>
                <w:rFonts w:hint="eastAsia" w:ascii="Times New Roman" w:hAnsi="Times New Roman"/>
                <w:sz w:val="24"/>
                <w:szCs w:val="28"/>
              </w:rPr>
              <w:t>交易各方签署的</w:t>
            </w:r>
            <w:r>
              <w:rPr>
                <w:rFonts w:ascii="Times New Roman" w:hAnsi="Times New Roman"/>
                <w:sz w:val="24"/>
                <w:szCs w:val="28"/>
              </w:rPr>
              <w:t>股权转让协议，</w:t>
            </w:r>
            <w:r>
              <w:rPr>
                <w:rFonts w:ascii="Times New Roman" w:hAnsi="Times New Roman"/>
                <w:color w:val="333333"/>
                <w:kern w:val="0"/>
                <w:sz w:val="24"/>
                <w:szCs w:val="24"/>
              </w:rPr>
              <w:t>深圳市深业实业有限公司</w:t>
            </w:r>
            <w:r>
              <w:rPr>
                <w:rFonts w:hint="eastAsia" w:ascii="Times New Roman" w:hAnsi="Times New Roman"/>
                <w:color w:val="333333"/>
                <w:kern w:val="0"/>
                <w:sz w:val="24"/>
                <w:szCs w:val="24"/>
              </w:rPr>
              <w:t>（“</w:t>
            </w:r>
            <w:r>
              <w:rPr>
                <w:rFonts w:hint="eastAsia" w:ascii="Times New Roman" w:hAnsi="Times New Roman"/>
                <w:b/>
                <w:bCs/>
                <w:color w:val="333333"/>
                <w:kern w:val="0"/>
                <w:sz w:val="24"/>
                <w:szCs w:val="24"/>
              </w:rPr>
              <w:t>深业实业</w:t>
            </w:r>
            <w:r>
              <w:rPr>
                <w:rFonts w:hint="eastAsia" w:ascii="Times New Roman" w:hAnsi="Times New Roman"/>
                <w:color w:val="333333"/>
                <w:kern w:val="0"/>
                <w:sz w:val="24"/>
                <w:szCs w:val="24"/>
              </w:rPr>
              <w:t>”）</w:t>
            </w:r>
            <w:r>
              <w:rPr>
                <w:rFonts w:ascii="Times New Roman" w:hAnsi="Times New Roman"/>
                <w:sz w:val="24"/>
                <w:szCs w:val="28"/>
              </w:rPr>
              <w:t>拟收购阳江市港宝日产汽车用品有限公司</w:t>
            </w:r>
            <w:r>
              <w:rPr>
                <w:rFonts w:hint="eastAsia" w:ascii="Times New Roman" w:hAnsi="Times New Roman"/>
                <w:sz w:val="24"/>
                <w:szCs w:val="28"/>
              </w:rPr>
              <w:t>（“</w:t>
            </w:r>
            <w:r>
              <w:rPr>
                <w:rFonts w:hint="eastAsia" w:ascii="Times New Roman" w:hAnsi="Times New Roman"/>
                <w:b/>
                <w:bCs/>
                <w:sz w:val="24"/>
                <w:szCs w:val="28"/>
              </w:rPr>
              <w:t>港宝日产</w:t>
            </w:r>
            <w:r>
              <w:rPr>
                <w:rFonts w:hint="eastAsia" w:ascii="Times New Roman" w:hAnsi="Times New Roman"/>
                <w:sz w:val="24"/>
                <w:szCs w:val="28"/>
              </w:rPr>
              <w:t>”）</w:t>
            </w:r>
            <w:r>
              <w:rPr>
                <w:rFonts w:ascii="Times New Roman" w:hAnsi="Times New Roman"/>
                <w:sz w:val="24"/>
                <w:szCs w:val="28"/>
              </w:rPr>
              <w:t>、张四</w:t>
            </w:r>
            <w:r>
              <w:rPr>
                <w:rFonts w:hint="eastAsia" w:ascii="Times New Roman" w:hAnsi="Times New Roman"/>
                <w:sz w:val="24"/>
                <w:szCs w:val="28"/>
              </w:rPr>
              <w:t>合计持有的阳江市广宝田汽车销售服务有限公司（“</w:t>
            </w:r>
            <w:r>
              <w:rPr>
                <w:rFonts w:hint="eastAsia" w:ascii="Times New Roman" w:hAnsi="Times New Roman"/>
                <w:b/>
                <w:bCs/>
                <w:sz w:val="24"/>
                <w:szCs w:val="28"/>
              </w:rPr>
              <w:t>广宝田</w:t>
            </w:r>
            <w:r>
              <w:rPr>
                <w:rFonts w:hint="eastAsia" w:ascii="Times New Roman" w:hAnsi="Times New Roman"/>
                <w:sz w:val="24"/>
                <w:szCs w:val="28"/>
              </w:rPr>
              <w:t>”）、阳江市广宝鸿汽车销售服务有限公司（“</w:t>
            </w:r>
            <w:r>
              <w:rPr>
                <w:rFonts w:hint="eastAsia" w:ascii="Times New Roman" w:hAnsi="Times New Roman"/>
                <w:b/>
                <w:bCs/>
                <w:sz w:val="24"/>
                <w:szCs w:val="28"/>
              </w:rPr>
              <w:t>广宝鸿</w:t>
            </w:r>
            <w:r>
              <w:rPr>
                <w:rFonts w:hint="eastAsia" w:ascii="Times New Roman" w:hAnsi="Times New Roman"/>
                <w:sz w:val="24"/>
                <w:szCs w:val="28"/>
              </w:rPr>
              <w:t>”）、阳江市广宝嘉汽车销售服务有限公司（“</w:t>
            </w:r>
            <w:r>
              <w:rPr>
                <w:rFonts w:hint="eastAsia" w:ascii="Times New Roman" w:hAnsi="Times New Roman"/>
                <w:b/>
                <w:bCs/>
                <w:sz w:val="24"/>
                <w:szCs w:val="28"/>
              </w:rPr>
              <w:t>广宝嘉</w:t>
            </w:r>
            <w:r>
              <w:rPr>
                <w:rFonts w:hint="eastAsia" w:ascii="Times New Roman" w:hAnsi="Times New Roman"/>
                <w:sz w:val="24"/>
                <w:szCs w:val="28"/>
              </w:rPr>
              <w:t>”）、阳春市广宝通汽车销售服务有限公司（“</w:t>
            </w:r>
            <w:r>
              <w:rPr>
                <w:rFonts w:hint="eastAsia" w:ascii="Times New Roman" w:hAnsi="Times New Roman"/>
                <w:b/>
                <w:bCs/>
                <w:sz w:val="24"/>
                <w:szCs w:val="28"/>
              </w:rPr>
              <w:t>广宝通</w:t>
            </w:r>
            <w:r>
              <w:rPr>
                <w:rFonts w:hint="eastAsia" w:ascii="Times New Roman" w:hAnsi="Times New Roman"/>
                <w:sz w:val="24"/>
                <w:szCs w:val="28"/>
              </w:rPr>
              <w:t>”）、阳江市广宝源汽车销售服务有限公司（“</w:t>
            </w:r>
            <w:r>
              <w:rPr>
                <w:rFonts w:hint="eastAsia" w:ascii="Times New Roman" w:hAnsi="Times New Roman"/>
                <w:b/>
                <w:bCs/>
                <w:sz w:val="24"/>
                <w:szCs w:val="28"/>
              </w:rPr>
              <w:t>广宝源</w:t>
            </w:r>
            <w:r>
              <w:rPr>
                <w:rFonts w:hint="eastAsia" w:ascii="Times New Roman" w:hAnsi="Times New Roman"/>
                <w:sz w:val="24"/>
                <w:szCs w:val="28"/>
              </w:rPr>
              <w:t>”）100%的股权，以及</w:t>
            </w:r>
            <w:r>
              <w:rPr>
                <w:rFonts w:ascii="Times New Roman" w:hAnsi="Times New Roman"/>
                <w:sz w:val="24"/>
                <w:szCs w:val="28"/>
              </w:rPr>
              <w:t>阳江市广宝丰汽车销售服务有限公司</w:t>
            </w:r>
            <w:r>
              <w:rPr>
                <w:rFonts w:hint="eastAsia" w:ascii="Times New Roman" w:hAnsi="Times New Roman"/>
                <w:sz w:val="24"/>
                <w:szCs w:val="28"/>
              </w:rPr>
              <w:t>和港宝日产合计</w:t>
            </w:r>
            <w:r>
              <w:rPr>
                <w:rFonts w:ascii="Times New Roman" w:hAnsi="Times New Roman"/>
                <w:sz w:val="24"/>
                <w:szCs w:val="28"/>
              </w:rPr>
              <w:t>持有的</w:t>
            </w:r>
            <w:r>
              <w:rPr>
                <w:rFonts w:hint="eastAsia" w:ascii="Times New Roman" w:hAnsi="Times New Roman"/>
                <w:sz w:val="24"/>
                <w:szCs w:val="28"/>
              </w:rPr>
              <w:t>阳江市广宝辰汽车销售服务有限公司（“</w:t>
            </w:r>
            <w:r>
              <w:rPr>
                <w:rFonts w:hint="eastAsia" w:ascii="Times New Roman" w:hAnsi="Times New Roman"/>
                <w:b/>
                <w:bCs/>
                <w:sz w:val="24"/>
                <w:szCs w:val="28"/>
              </w:rPr>
              <w:t>广宝辰</w:t>
            </w:r>
            <w:r>
              <w:rPr>
                <w:rFonts w:hint="eastAsia" w:ascii="Times New Roman" w:hAnsi="Times New Roman"/>
                <w:sz w:val="24"/>
                <w:szCs w:val="28"/>
              </w:rPr>
              <w:t>”，与广宝田、广宝鸿、广宝嘉、广宝通、广宝源合称为“</w:t>
            </w:r>
            <w:r>
              <w:rPr>
                <w:rFonts w:hint="eastAsia" w:ascii="Times New Roman" w:hAnsi="Times New Roman"/>
                <w:b/>
                <w:bCs/>
                <w:sz w:val="24"/>
                <w:szCs w:val="28"/>
              </w:rPr>
              <w:t>目标公司</w:t>
            </w:r>
            <w:r>
              <w:rPr>
                <w:rFonts w:hint="eastAsia" w:ascii="Times New Roman" w:hAnsi="Times New Roman"/>
                <w:sz w:val="24"/>
                <w:szCs w:val="28"/>
              </w:rPr>
              <w:t>”）</w:t>
            </w:r>
            <w:r>
              <w:rPr>
                <w:rFonts w:ascii="Times New Roman" w:hAnsi="Times New Roman"/>
                <w:sz w:val="24"/>
                <w:szCs w:val="28"/>
              </w:rPr>
              <w:t>100%的股权</w:t>
            </w:r>
            <w:r>
              <w:rPr>
                <w:rFonts w:hint="eastAsia" w:ascii="Times New Roman" w:hAnsi="Times New Roman"/>
                <w:sz w:val="24"/>
                <w:szCs w:val="28"/>
              </w:rPr>
              <w:t>。</w:t>
            </w:r>
            <w:r>
              <w:rPr>
                <w:rFonts w:ascii="Times New Roman" w:hAnsi="Times New Roman"/>
                <w:sz w:val="24"/>
                <w:szCs w:val="28"/>
              </w:rPr>
              <w:t>本次交易完成后，深业实业将</w:t>
            </w:r>
            <w:r>
              <w:rPr>
                <w:rFonts w:hint="eastAsia" w:ascii="Times New Roman" w:hAnsi="Times New Roman"/>
                <w:sz w:val="24"/>
                <w:szCs w:val="28"/>
              </w:rPr>
              <w:t>取得目标公司</w:t>
            </w:r>
            <w:r>
              <w:rPr>
                <w:rFonts w:ascii="Times New Roman" w:hAnsi="Times New Roman"/>
                <w:sz w:val="24"/>
                <w:szCs w:val="28"/>
              </w:rPr>
              <w:t>100%的股权。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1、</w:t>
            </w:r>
            <w:r>
              <w:rPr>
                <w:rFonts w:hint="eastAsia" w:ascii="Times New Roman" w:hAnsi="Times New Roman"/>
                <w:color w:val="333333"/>
                <w:kern w:val="0"/>
                <w:sz w:val="24"/>
                <w:szCs w:val="24"/>
              </w:rPr>
              <w:t>深业实业</w:t>
            </w:r>
          </w:p>
        </w:tc>
        <w:tc>
          <w:tcPr>
            <w:tcW w:w="5153" w:type="dxa"/>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深业实业主要在中国境内从事广汽本田、一汽丰田、广汽丰田、东风本田、雷克萨斯、奥迪等品牌的整车销售业务。除此之外，在中国境外没有开展业务。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1796" w:type="dxa"/>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2、</w:t>
            </w:r>
            <w:r>
              <w:rPr>
                <w:rFonts w:hint="eastAsia" w:ascii="Times New Roman" w:hAnsi="Times New Roman"/>
                <w:color w:val="333333"/>
                <w:kern w:val="0"/>
                <w:sz w:val="24"/>
                <w:szCs w:val="24"/>
              </w:rPr>
              <w:t>目标公司</w:t>
            </w:r>
          </w:p>
        </w:tc>
        <w:tc>
          <w:tcPr>
            <w:tcW w:w="5153" w:type="dxa"/>
          </w:tcPr>
          <w:p>
            <w:pPr>
              <w:spacing w:line="500" w:lineRule="exact"/>
              <w:rPr>
                <w:rFonts w:ascii="Times New Roman" w:hAnsi="Times New Roman"/>
                <w:color w:val="333333"/>
                <w:kern w:val="0"/>
                <w:sz w:val="24"/>
                <w:szCs w:val="24"/>
              </w:rPr>
            </w:pPr>
            <w:r>
              <w:rPr>
                <w:rFonts w:hint="eastAsia" w:ascii="Times New Roman" w:hAnsi="Times New Roman"/>
                <w:color w:val="333333"/>
                <w:kern w:val="0"/>
                <w:sz w:val="24"/>
                <w:szCs w:val="24"/>
              </w:rPr>
              <w:t>包括广宝田、广宝鸿、广宝嘉、广宝通、广宝源、广宝辰共六家公司。广宝田主要从事东风本田品牌汽车的销售业务，广宝鸿主要从事三菱品牌汽车的销售业务，广宝嘉主要从事领克品牌汽车的销售业务，广宝通主要从事东风本田品牌汽车的销售业务，广宝源主要从事东风标致品牌汽车的销售业务，广宝辰主要从事启辰品牌汽车的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szCs w:val="21"/>
                <w:highlight w:val="none"/>
              </w:rPr>
              <w:sym w:font="Wingdings" w:char="F0FE"/>
            </w:r>
            <w:r>
              <w:rPr>
                <w:rFonts w:ascii="Times New Roman" w:hAnsi="Times New Roman"/>
                <w:color w:val="333333"/>
                <w:kern w:val="0"/>
                <w:sz w:val="24"/>
                <w:szCs w:val="24"/>
              </w:rPr>
              <w:t>3.不在同一相关市场、也不存在上下游关系的参与集中的经营者，在与交易有关的每个市场</w:t>
            </w:r>
            <w:bookmarkStart w:id="0" w:name="_GoBack"/>
            <w:bookmarkEnd w:id="0"/>
            <w:r>
              <w:rPr>
                <w:rFonts w:ascii="Times New Roman" w:hAnsi="Times New Roman"/>
                <w:color w:val="333333"/>
                <w:kern w:val="0"/>
                <w:sz w:val="24"/>
                <w:szCs w:val="24"/>
              </w:rPr>
              <w:t>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Times New Roman" w:hAnsi="Times New Roman"/>
                <w:color w:val="333333"/>
                <w:kern w:val="0"/>
                <w:sz w:val="24"/>
                <w:szCs w:val="24"/>
              </w:rPr>
            </w:pPr>
          </w:p>
        </w:tc>
        <w:tc>
          <w:tcPr>
            <w:tcW w:w="6949" w:type="dxa"/>
            <w:gridSpan w:val="2"/>
          </w:tcPr>
          <w:p>
            <w:pPr>
              <w:spacing w:line="500" w:lineRule="exact"/>
              <w:rPr>
                <w:rFonts w:ascii="Times New Roman" w:hAnsi="Times New Roman"/>
                <w:color w:val="333333"/>
                <w:kern w:val="0"/>
                <w:sz w:val="24"/>
                <w:szCs w:val="24"/>
              </w:rPr>
            </w:pPr>
            <w:r>
              <w:rPr>
                <w:rFonts w:ascii="Times New Roman" w:hAnsi="Times New Roman"/>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pPr>
              <w:pStyle w:val="9"/>
              <w:numPr>
                <w:ilvl w:val="0"/>
                <w:numId w:val="1"/>
              </w:numPr>
              <w:spacing w:line="500" w:lineRule="exact"/>
              <w:ind w:firstLineChars="0"/>
              <w:rPr>
                <w:rFonts w:ascii="Times New Roman" w:hAnsi="Times New Roman"/>
                <w:color w:val="333333"/>
                <w:kern w:val="0"/>
                <w:sz w:val="24"/>
                <w:szCs w:val="24"/>
              </w:rPr>
            </w:pPr>
            <w:r>
              <w:rPr>
                <w:rFonts w:hint="eastAsia" w:ascii="Times New Roman" w:hAnsi="Times New Roman"/>
                <w:b/>
                <w:bCs/>
                <w:color w:val="333333"/>
                <w:kern w:val="0"/>
                <w:sz w:val="24"/>
                <w:szCs w:val="24"/>
              </w:rPr>
              <w:t>相关产品市场：</w:t>
            </w:r>
            <w:r>
              <w:rPr>
                <w:rFonts w:hint="eastAsia" w:ascii="Times New Roman" w:hAnsi="Times New Roman"/>
                <w:color w:val="333333"/>
                <w:kern w:val="0"/>
                <w:sz w:val="24"/>
                <w:szCs w:val="24"/>
              </w:rPr>
              <w:t>中高端品牌乘用车4S店销售服务市场、低端品牌乘用车4S店销售服务市场</w:t>
            </w:r>
          </w:p>
          <w:p>
            <w:pPr>
              <w:pStyle w:val="9"/>
              <w:numPr>
                <w:ilvl w:val="0"/>
                <w:numId w:val="1"/>
              </w:numPr>
              <w:spacing w:line="500" w:lineRule="exact"/>
              <w:ind w:firstLineChars="0"/>
              <w:rPr>
                <w:rFonts w:ascii="Times New Roman" w:hAnsi="Times New Roman"/>
                <w:color w:val="333333"/>
                <w:kern w:val="0"/>
                <w:sz w:val="24"/>
                <w:szCs w:val="24"/>
              </w:rPr>
            </w:pPr>
            <w:r>
              <w:rPr>
                <w:rFonts w:hint="eastAsia" w:ascii="Times New Roman" w:hAnsi="Times New Roman"/>
                <w:b/>
                <w:bCs/>
                <w:color w:val="333333"/>
                <w:kern w:val="0"/>
                <w:sz w:val="24"/>
                <w:szCs w:val="24"/>
              </w:rPr>
              <w:t>相关地域市场：</w:t>
            </w:r>
            <w:r>
              <w:rPr>
                <w:rFonts w:hint="eastAsia" w:ascii="Times New Roman" w:hAnsi="Times New Roman"/>
                <w:color w:val="333333"/>
                <w:kern w:val="0"/>
                <w:sz w:val="24"/>
                <w:szCs w:val="24"/>
              </w:rPr>
              <w:t>广东省阳江市</w:t>
            </w:r>
          </w:p>
          <w:p>
            <w:pPr>
              <w:pStyle w:val="9"/>
              <w:numPr>
                <w:ilvl w:val="0"/>
                <w:numId w:val="1"/>
              </w:numPr>
              <w:spacing w:line="500" w:lineRule="exact"/>
              <w:ind w:firstLineChars="0"/>
              <w:rPr>
                <w:rFonts w:ascii="Times New Roman" w:hAnsi="Times New Roman"/>
                <w:b/>
                <w:bCs/>
                <w:color w:val="333333"/>
                <w:kern w:val="0"/>
                <w:sz w:val="24"/>
                <w:szCs w:val="24"/>
              </w:rPr>
            </w:pPr>
            <w:r>
              <w:rPr>
                <w:rFonts w:hint="eastAsia" w:ascii="Times New Roman" w:hAnsi="Times New Roman"/>
                <w:b/>
                <w:bCs/>
                <w:color w:val="333333"/>
                <w:kern w:val="0"/>
                <w:sz w:val="24"/>
                <w:szCs w:val="24"/>
              </w:rPr>
              <w:t>相关市场份额：</w:t>
            </w:r>
          </w:p>
          <w:p>
            <w:pPr>
              <w:pStyle w:val="9"/>
              <w:numPr>
                <w:ilvl w:val="0"/>
                <w:numId w:val="2"/>
              </w:numPr>
              <w:spacing w:line="500" w:lineRule="exact"/>
              <w:ind w:left="889" w:hanging="524" w:firstLineChars="0"/>
              <w:rPr>
                <w:rFonts w:ascii="Times New Roman" w:hAnsi="Times New Roman"/>
                <w:color w:val="333333"/>
                <w:kern w:val="0"/>
                <w:sz w:val="24"/>
                <w:szCs w:val="24"/>
              </w:rPr>
            </w:pPr>
            <w:r>
              <w:rPr>
                <w:rFonts w:hint="eastAsia" w:ascii="Times New Roman" w:hAnsi="Times New Roman"/>
                <w:color w:val="333333"/>
                <w:kern w:val="0"/>
                <w:sz w:val="24"/>
                <w:szCs w:val="24"/>
              </w:rPr>
              <w:t>中高端品牌乘用车4S店销售服务市场</w:t>
            </w:r>
          </w:p>
          <w:p>
            <w:pPr>
              <w:pStyle w:val="9"/>
              <w:spacing w:line="500" w:lineRule="exact"/>
              <w:ind w:left="889" w:firstLine="0" w:firstLineChars="0"/>
              <w:rPr>
                <w:rFonts w:ascii="Times New Roman" w:hAnsi="Times New Roman"/>
                <w:color w:val="333333"/>
                <w:kern w:val="0"/>
                <w:sz w:val="24"/>
                <w:szCs w:val="24"/>
              </w:rPr>
            </w:pPr>
            <w:r>
              <w:rPr>
                <w:rFonts w:hint="eastAsia" w:ascii="Times New Roman" w:hAnsi="Times New Roman"/>
                <w:color w:val="333333"/>
                <w:kern w:val="0"/>
                <w:sz w:val="24"/>
                <w:szCs w:val="24"/>
              </w:rPr>
              <w:t>深业实业：0</w:t>
            </w:r>
          </w:p>
          <w:p>
            <w:pPr>
              <w:pStyle w:val="9"/>
              <w:spacing w:line="500" w:lineRule="exact"/>
              <w:ind w:left="889" w:firstLine="0" w:firstLineChars="0"/>
              <w:rPr>
                <w:rFonts w:ascii="Times New Roman" w:hAnsi="Times New Roman"/>
                <w:color w:val="333333"/>
                <w:kern w:val="0"/>
                <w:sz w:val="24"/>
                <w:szCs w:val="24"/>
              </w:rPr>
            </w:pPr>
            <w:r>
              <w:rPr>
                <w:rFonts w:hint="eastAsia" w:ascii="Times New Roman" w:hAnsi="Times New Roman"/>
                <w:color w:val="333333"/>
                <w:kern w:val="0"/>
                <w:sz w:val="24"/>
                <w:szCs w:val="24"/>
              </w:rPr>
              <w:t>目标公司合计：10%-15%</w:t>
            </w:r>
          </w:p>
          <w:p>
            <w:pPr>
              <w:pStyle w:val="9"/>
              <w:numPr>
                <w:ilvl w:val="0"/>
                <w:numId w:val="2"/>
              </w:numPr>
              <w:spacing w:line="500" w:lineRule="exact"/>
              <w:ind w:left="889" w:hanging="524" w:firstLineChars="0"/>
              <w:rPr>
                <w:rFonts w:ascii="Times New Roman" w:hAnsi="Times New Roman"/>
                <w:color w:val="333333"/>
                <w:kern w:val="0"/>
                <w:sz w:val="24"/>
                <w:szCs w:val="24"/>
              </w:rPr>
            </w:pPr>
            <w:r>
              <w:rPr>
                <w:rFonts w:hint="eastAsia" w:ascii="Times New Roman" w:hAnsi="Times New Roman"/>
                <w:color w:val="333333"/>
                <w:kern w:val="0"/>
                <w:sz w:val="24"/>
                <w:szCs w:val="24"/>
              </w:rPr>
              <w:t>低端品牌乘用车4S店销售服务市场</w:t>
            </w:r>
          </w:p>
          <w:p>
            <w:pPr>
              <w:pStyle w:val="9"/>
              <w:spacing w:line="500" w:lineRule="exact"/>
              <w:ind w:left="889" w:firstLine="0" w:firstLineChars="0"/>
              <w:rPr>
                <w:rFonts w:ascii="Times New Roman" w:hAnsi="Times New Roman"/>
                <w:color w:val="333333"/>
                <w:kern w:val="0"/>
                <w:sz w:val="24"/>
                <w:szCs w:val="24"/>
              </w:rPr>
            </w:pPr>
            <w:r>
              <w:rPr>
                <w:rFonts w:hint="eastAsia" w:ascii="Times New Roman" w:hAnsi="Times New Roman"/>
                <w:color w:val="333333"/>
                <w:kern w:val="0"/>
                <w:sz w:val="24"/>
                <w:szCs w:val="24"/>
              </w:rPr>
              <w:t>深业实业：0</w:t>
            </w:r>
          </w:p>
          <w:p>
            <w:pPr>
              <w:pStyle w:val="9"/>
              <w:spacing w:line="500" w:lineRule="exact"/>
              <w:ind w:left="889" w:firstLine="0" w:firstLineChars="0"/>
              <w:rPr>
                <w:rFonts w:ascii="Times New Roman" w:hAnsi="Times New Roman"/>
                <w:color w:val="333333"/>
                <w:kern w:val="0"/>
                <w:sz w:val="24"/>
                <w:szCs w:val="24"/>
              </w:rPr>
            </w:pPr>
            <w:r>
              <w:rPr>
                <w:rFonts w:hint="eastAsia" w:ascii="Times New Roman" w:hAnsi="Times New Roman"/>
                <w:color w:val="333333"/>
                <w:kern w:val="0"/>
                <w:sz w:val="24"/>
                <w:szCs w:val="24"/>
              </w:rPr>
              <w:t>目标公司合计：0-5%</w:t>
            </w:r>
          </w:p>
        </w:tc>
      </w:tr>
    </w:tbl>
    <w:p>
      <w:pPr>
        <w:snapToGrid w:val="0"/>
        <w:spacing w:line="240" w:lineRule="exact"/>
        <w:jc w:val="left"/>
        <w:rPr>
          <w:rFonts w:ascii="Times New Roman" w:hAnsi="Times New Roman"/>
          <w:sz w:val="24"/>
          <w:szCs w:val="24"/>
        </w:rPr>
      </w:pPr>
    </w:p>
    <w:p>
      <w:pPr>
        <w:snapToGrid w:val="0"/>
        <w:spacing w:line="240" w:lineRule="exact"/>
        <w:jc w:val="left"/>
        <w:rPr>
          <w:rFonts w:ascii="Times New Roman" w:hAnsi="Times New Roman"/>
          <w:sz w:val="24"/>
          <w:szCs w:val="24"/>
        </w:rPr>
      </w:pPr>
      <w:r>
        <w:rPr>
          <w:rFonts w:ascii="Times New Roman" w:hAnsi="Times New Roman"/>
          <w:sz w:val="24"/>
          <w:szCs w:val="24"/>
        </w:rPr>
        <w:t>注解：</w:t>
      </w:r>
    </w:p>
    <w:p>
      <w:pPr>
        <w:snapToGrid w:val="0"/>
        <w:spacing w:line="360" w:lineRule="auto"/>
        <w:ind w:firstLine="480" w:firstLineChars="200"/>
        <w:jc w:val="left"/>
        <w:rPr>
          <w:rFonts w:ascii="Times New Roman" w:hAnsi="Times New Roman"/>
          <w:sz w:val="24"/>
          <w:szCs w:val="24"/>
        </w:rPr>
      </w:pPr>
      <w:r>
        <w:rPr>
          <w:rFonts w:ascii="Times New Roman" w:hAnsi="Times New Roman"/>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ascii="Times New Roman" w:hAnsi="Times New Roman"/>
          <w:sz w:val="28"/>
          <w:szCs w:val="28"/>
        </w:rPr>
      </w:pPr>
      <w:r>
        <w:rPr>
          <w:rFonts w:ascii="Times New Roman" w:hAnsi="Times New Roman"/>
          <w:sz w:val="24"/>
          <w:szCs w:val="24"/>
        </w:rPr>
        <w:t>2.申报方申请简易案件的理由是基于第4项、第5项时，无须在备注中说明相关市场和市场份额。</w:t>
      </w:r>
      <w:r>
        <w:rPr>
          <w:rFonts w:ascii="Times New Roman" w:hAnsi="Times New Roman"/>
          <w:sz w:val="24"/>
          <w:szCs w:val="24"/>
        </w:rPr>
        <w:br w:type="textWrapping"/>
      </w:r>
      <w:r>
        <w:rPr>
          <w:rFonts w:ascii="Times New Roman" w:hAnsi="Times New Roman"/>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Pr>
        <w:rPr>
          <w:rFonts w:ascii="Times New Roman" w:hAnsi="Times New Roman"/>
        </w:rPr>
      </w:pPr>
    </w:p>
    <w:p>
      <w:pPr>
        <w:rPr>
          <w:rFonts w:ascii="Times New Roman" w:hAnsi="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26670A"/>
    <w:multiLevelType w:val="multilevel"/>
    <w:tmpl w:val="4A26670A"/>
    <w:lvl w:ilvl="0" w:tentative="0">
      <w:start w:val="1"/>
      <w:numFmt w:val="decimal"/>
      <w:lvlText w:val="%1."/>
      <w:lvlJc w:val="left"/>
      <w:pPr>
        <w:ind w:left="360" w:hanging="360"/>
      </w:pPr>
      <w:rPr>
        <w:rFonts w:hint="default"/>
        <w:b/>
        <w:bC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B4A3C09"/>
    <w:multiLevelType w:val="multilevel"/>
    <w:tmpl w:val="6B4A3C0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D7EBA"/>
    <w:rsid w:val="000F686E"/>
    <w:rsid w:val="001164CD"/>
    <w:rsid w:val="001553A7"/>
    <w:rsid w:val="00155717"/>
    <w:rsid w:val="001837A3"/>
    <w:rsid w:val="001B64A0"/>
    <w:rsid w:val="001D6A50"/>
    <w:rsid w:val="0023097D"/>
    <w:rsid w:val="00352CED"/>
    <w:rsid w:val="003C0AEB"/>
    <w:rsid w:val="003D3FDD"/>
    <w:rsid w:val="004D5343"/>
    <w:rsid w:val="004E4C8E"/>
    <w:rsid w:val="004F7688"/>
    <w:rsid w:val="005C19ED"/>
    <w:rsid w:val="005F7F93"/>
    <w:rsid w:val="006450FC"/>
    <w:rsid w:val="006467D8"/>
    <w:rsid w:val="00665F82"/>
    <w:rsid w:val="006A531B"/>
    <w:rsid w:val="006F7693"/>
    <w:rsid w:val="00710140"/>
    <w:rsid w:val="0075481C"/>
    <w:rsid w:val="007C7476"/>
    <w:rsid w:val="007F2275"/>
    <w:rsid w:val="008141FE"/>
    <w:rsid w:val="008A4667"/>
    <w:rsid w:val="00915F0F"/>
    <w:rsid w:val="00922C4A"/>
    <w:rsid w:val="009532DF"/>
    <w:rsid w:val="0096458F"/>
    <w:rsid w:val="00997019"/>
    <w:rsid w:val="009A5029"/>
    <w:rsid w:val="009D38D5"/>
    <w:rsid w:val="00A11ECD"/>
    <w:rsid w:val="00A53F26"/>
    <w:rsid w:val="00AA0CC5"/>
    <w:rsid w:val="00AE19A2"/>
    <w:rsid w:val="00B16AFE"/>
    <w:rsid w:val="00B2595A"/>
    <w:rsid w:val="00B651EB"/>
    <w:rsid w:val="00B65DD5"/>
    <w:rsid w:val="00BD10B6"/>
    <w:rsid w:val="00C07076"/>
    <w:rsid w:val="00C654C2"/>
    <w:rsid w:val="00CB00DF"/>
    <w:rsid w:val="00D6723C"/>
    <w:rsid w:val="00D73C72"/>
    <w:rsid w:val="00D744F8"/>
    <w:rsid w:val="00DC331E"/>
    <w:rsid w:val="00E0592B"/>
    <w:rsid w:val="00E240FA"/>
    <w:rsid w:val="00E31738"/>
    <w:rsid w:val="00E4555D"/>
    <w:rsid w:val="00E61663"/>
    <w:rsid w:val="00E839B3"/>
    <w:rsid w:val="00E86786"/>
    <w:rsid w:val="00ED2F80"/>
    <w:rsid w:val="00F1624E"/>
    <w:rsid w:val="00F32F8A"/>
    <w:rsid w:val="00F810AA"/>
    <w:rsid w:val="00FB43EC"/>
    <w:rsid w:val="00FB6B40"/>
    <w:rsid w:val="2DBD44D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5"/>
    <w:link w:val="4"/>
    <w:uiPriority w:val="99"/>
    <w:rPr>
      <w:rFonts w:ascii="Calibri" w:hAnsi="Calibri" w:eastAsia="宋体" w:cs="Times New Roman"/>
      <w:sz w:val="18"/>
      <w:szCs w:val="18"/>
    </w:rPr>
  </w:style>
  <w:style w:type="character" w:customStyle="1" w:styleId="8">
    <w:name w:val="页脚 Char"/>
    <w:basedOn w:val="5"/>
    <w:link w:val="3"/>
    <w:qFormat/>
    <w:uiPriority w:val="99"/>
    <w:rPr>
      <w:rFonts w:ascii="Calibri" w:hAnsi="Calibri"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批注框文本 Char"/>
    <w:basedOn w:val="5"/>
    <w:link w:val="2"/>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211</Words>
  <Characters>1203</Characters>
  <Lines>10</Lines>
  <Paragraphs>2</Paragraphs>
  <TotalTime>1</TotalTime>
  <ScaleCrop>false</ScaleCrop>
  <LinksUpToDate>false</LinksUpToDate>
  <CharactersWithSpaces>1412</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2020-05-28T06:16:00Z</dcterms:created>
  <dc:creator>陈媚</dc:creator>
  <cp:lastModifiedBy>SAMR</cp:lastModifiedBy>
  <dcterms:modified xsi:type="dcterms:W3CDTF">2020-05-29T01:53:49Z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