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433903" w:rsidRDefault="00CB00DF" w:rsidP="00460FB4">
      <w:pPr>
        <w:spacing w:line="276" w:lineRule="auto"/>
        <w:jc w:val="center"/>
        <w:rPr>
          <w:rFonts w:ascii="Times New Roman" w:eastAsia="仿宋_GB2312" w:hAnsi="Times New Roman"/>
          <w:sz w:val="28"/>
          <w:szCs w:val="28"/>
        </w:rPr>
      </w:pPr>
      <w:r w:rsidRPr="00433903">
        <w:rPr>
          <w:rFonts w:ascii="Times New Roman" w:eastAsia="仿宋_GB2312" w:hAnsi="Times New Roman"/>
          <w:sz w:val="28"/>
          <w:szCs w:val="28"/>
        </w:rPr>
        <w:t>经营者集中简易案件公示表</w:t>
      </w:r>
    </w:p>
    <w:p w:rsidR="00CB00DF" w:rsidRPr="00433903" w:rsidRDefault="00CB00DF" w:rsidP="00460FB4">
      <w:pPr>
        <w:spacing w:line="276" w:lineRule="auto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88"/>
        <w:gridCol w:w="5361"/>
      </w:tblGrid>
      <w:tr w:rsidR="002F3D52" w:rsidRPr="002460EE" w:rsidTr="00540581">
        <w:tc>
          <w:tcPr>
            <w:tcW w:w="1809" w:type="dxa"/>
            <w:shd w:val="clear" w:color="auto" w:fill="D9D9D9"/>
            <w:vAlign w:val="center"/>
          </w:tcPr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2460EE" w:rsidRDefault="000812FA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富士康工业互联网股份有限公司（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“</w:t>
            </w:r>
            <w:r w:rsidRPr="002460EE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工业富联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”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）与广东省润丰科技投资有限公司（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“</w:t>
            </w:r>
            <w:r w:rsidRPr="002460EE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润丰科技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”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）等经营者新设合营企业案</w:t>
            </w:r>
            <w:r w:rsidR="00C467A1"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（</w:t>
            </w:r>
            <w:r w:rsidR="00C467A1"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“</w:t>
            </w:r>
            <w:r w:rsidR="00C467A1" w:rsidRPr="002460EE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本次交易</w:t>
            </w:r>
            <w:r w:rsidR="00C467A1"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”</w:t>
            </w:r>
            <w:r w:rsidR="00C467A1" w:rsidRPr="002460EE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）</w:t>
            </w:r>
          </w:p>
        </w:tc>
      </w:tr>
      <w:tr w:rsidR="002F3D52" w:rsidRPr="002460EE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0812FA" w:rsidRPr="002460EE" w:rsidRDefault="000812FA" w:rsidP="00460FB4">
            <w:pPr>
              <w:spacing w:line="276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合营方工业富联、润丰科技</w:t>
            </w:r>
            <w:r w:rsidR="008200ED">
              <w:rPr>
                <w:rFonts w:ascii="Times New Roman" w:eastAsia="仿宋_GB2312" w:hAnsi="Times New Roman" w:hint="eastAsia"/>
                <w:sz w:val="24"/>
                <w:szCs w:val="24"/>
              </w:rPr>
              <w:t>、中国中信股份有限公司（“</w:t>
            </w:r>
            <w:r w:rsidR="008200ED" w:rsidRPr="008200ED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中信股份</w:t>
            </w:r>
            <w:r w:rsidR="008200ED">
              <w:rPr>
                <w:rFonts w:ascii="Times New Roman" w:eastAsia="仿宋_GB2312" w:hAnsi="Times New Roman" w:hint="eastAsia"/>
                <w:sz w:val="24"/>
                <w:szCs w:val="24"/>
              </w:rPr>
              <w:t>”）控制的关联公司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中信控股有限责任公司（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 w:rsidRPr="002460EE">
              <w:rPr>
                <w:rFonts w:ascii="Times New Roman" w:eastAsia="仿宋_GB2312" w:hAnsi="Times New Roman"/>
                <w:b/>
                <w:sz w:val="24"/>
                <w:szCs w:val="24"/>
              </w:rPr>
              <w:t>中信控股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）</w:t>
            </w:r>
            <w:r w:rsidR="00776024">
              <w:rPr>
                <w:rFonts w:ascii="Times New Roman" w:eastAsia="仿宋_GB2312" w:hAnsi="Times New Roman" w:hint="eastAsia"/>
                <w:sz w:val="24"/>
                <w:szCs w:val="24"/>
              </w:rPr>
              <w:t>和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秦皇岛信越智能装备有限公司（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 w:rsidRPr="002460EE">
              <w:rPr>
                <w:rFonts w:ascii="Times New Roman" w:eastAsia="仿宋_GB2312" w:hAnsi="Times New Roman"/>
                <w:b/>
                <w:sz w:val="24"/>
                <w:szCs w:val="24"/>
              </w:rPr>
              <w:t>信越智能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）与深圳市合达数字投资合伙企业（有限合伙）（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 w:rsidRPr="002460EE">
              <w:rPr>
                <w:rFonts w:ascii="Times New Roman" w:eastAsia="仿宋_GB2312" w:hAnsi="Times New Roman"/>
                <w:b/>
                <w:sz w:val="24"/>
                <w:szCs w:val="24"/>
              </w:rPr>
              <w:t>合达投资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）共同出资设立合营企业。</w:t>
            </w:r>
          </w:p>
          <w:p w:rsidR="000812FA" w:rsidRPr="002460EE" w:rsidRDefault="000812FA" w:rsidP="00460FB4">
            <w:pPr>
              <w:spacing w:line="276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CB00DF" w:rsidRPr="002460EE" w:rsidRDefault="000812FA" w:rsidP="003E4BB9">
            <w:pPr>
              <w:spacing w:line="276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本次交易后，工业富联、润丰科技、</w:t>
            </w:r>
            <w:r w:rsidR="00776024">
              <w:rPr>
                <w:rFonts w:ascii="Times New Roman" w:eastAsia="仿宋_GB2312" w:hAnsi="Times New Roman" w:hint="eastAsia"/>
                <w:sz w:val="24"/>
                <w:szCs w:val="24"/>
              </w:rPr>
              <w:t>中信股份</w:t>
            </w: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与合达投资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分别持有合营企业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30%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30%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30%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与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10%</w:t>
            </w:r>
            <w:r w:rsidR="003E4BB9">
              <w:rPr>
                <w:rFonts w:ascii="Times New Roman" w:eastAsia="仿宋_GB2312" w:hAnsi="Times New Roman"/>
                <w:sz w:val="24"/>
                <w:szCs w:val="24"/>
              </w:rPr>
              <w:t>的股份；工业富联、润丰科技</w:t>
            </w:r>
            <w:r w:rsidR="003E4BB9">
              <w:rPr>
                <w:rFonts w:ascii="Times New Roman" w:eastAsia="仿宋_GB2312" w:hAnsi="Times New Roman" w:hint="eastAsia"/>
                <w:sz w:val="24"/>
                <w:szCs w:val="24"/>
              </w:rPr>
              <w:t>和中信股份</w:t>
            </w:r>
            <w:r w:rsidR="009C1563" w:rsidRPr="002460EE">
              <w:rPr>
                <w:rFonts w:ascii="Times New Roman" w:eastAsia="仿宋_GB2312" w:hAnsi="Times New Roman"/>
                <w:sz w:val="24"/>
                <w:szCs w:val="24"/>
              </w:rPr>
              <w:t>将共同控制合营企业。</w:t>
            </w:r>
          </w:p>
        </w:tc>
      </w:tr>
      <w:tr w:rsidR="009C1563" w:rsidRPr="002460EE" w:rsidTr="00460FB4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9C1563" w:rsidRPr="002460EE" w:rsidRDefault="009C1563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9C1563" w:rsidRPr="002460EE" w:rsidRDefault="009C1563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88" w:type="dxa"/>
            <w:vAlign w:val="center"/>
          </w:tcPr>
          <w:p w:rsidR="009C1563" w:rsidRPr="002460EE" w:rsidRDefault="009C1563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、工业富联</w:t>
            </w:r>
          </w:p>
        </w:tc>
        <w:tc>
          <w:tcPr>
            <w:tcW w:w="5361" w:type="dxa"/>
            <w:vAlign w:val="center"/>
          </w:tcPr>
          <w:p w:rsidR="009C1563" w:rsidRPr="002460EE" w:rsidRDefault="009C1563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工业富联是智能制造服务商和工业互联网整体解决方案提供商，主要产品涵盖通信网络及移动设备、高精密机构件、云计算相关设备、科技服务（含精密工具、工业机器人及工业互联网相关服务）。</w:t>
            </w:r>
          </w:p>
        </w:tc>
      </w:tr>
      <w:tr w:rsidR="009C1563" w:rsidRPr="002460EE" w:rsidTr="00460FB4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C1563" w:rsidRPr="002460EE" w:rsidRDefault="009C1563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88" w:type="dxa"/>
            <w:vAlign w:val="center"/>
          </w:tcPr>
          <w:p w:rsidR="009C1563" w:rsidRPr="002460EE" w:rsidRDefault="009C1563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、润丰科技</w:t>
            </w:r>
          </w:p>
        </w:tc>
        <w:tc>
          <w:tcPr>
            <w:tcW w:w="5361" w:type="dxa"/>
            <w:vAlign w:val="center"/>
          </w:tcPr>
          <w:p w:rsidR="009C1563" w:rsidRPr="002460EE" w:rsidRDefault="009C1563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润丰科技隶属华润集团旗下华润水泥控股有限公司（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2460EE">
              <w:rPr>
                <w:rFonts w:ascii="Times New Roman" w:eastAsia="仿宋_GB2312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华润水泥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），为华润水泥新业务投资运营平台，集中管理骨料、新材料、装配式建筑、协同处置、技术研发等转型创新业务。</w:t>
            </w:r>
          </w:p>
        </w:tc>
      </w:tr>
      <w:tr w:rsidR="00056EA9" w:rsidRPr="002460EE" w:rsidTr="00056EA9">
        <w:trPr>
          <w:trHeight w:val="2356"/>
        </w:trPr>
        <w:tc>
          <w:tcPr>
            <w:tcW w:w="1809" w:type="dxa"/>
            <w:vMerge/>
            <w:shd w:val="clear" w:color="auto" w:fill="D9D9D9"/>
            <w:vAlign w:val="center"/>
          </w:tcPr>
          <w:p w:rsidR="00056EA9" w:rsidRPr="002460EE" w:rsidRDefault="00056EA9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88" w:type="dxa"/>
            <w:vAlign w:val="center"/>
          </w:tcPr>
          <w:p w:rsidR="00056EA9" w:rsidRPr="002460EE" w:rsidRDefault="00056EA9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、中信股份</w:t>
            </w:r>
          </w:p>
        </w:tc>
        <w:tc>
          <w:tcPr>
            <w:tcW w:w="5361" w:type="dxa"/>
            <w:vAlign w:val="center"/>
          </w:tcPr>
          <w:p w:rsidR="00056EA9" w:rsidRPr="002460EE" w:rsidRDefault="00056EA9" w:rsidP="00056EA9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中信股份为</w:t>
            </w:r>
            <w:r w:rsidRPr="008D4C99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合营方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中信控股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信越智能</w:t>
            </w:r>
            <w:r w:rsidRPr="008D4C99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的间接控股股东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，业务</w:t>
            </w:r>
            <w:r w:rsidRPr="008D4C99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主要涵盖金融、资源能源、制造、工程承包及房地产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等领域</w:t>
            </w:r>
            <w:r w:rsidRPr="003F1F37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6F719C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中信控股主要业务为投资和管理。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信越装备主要业务为研发、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制造</w:t>
            </w: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、销售有色金属铸件生产专用设备，具体包括智能铸造设备、深度自动化设备、智能涂装设备、智能焊装设备等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3D52" w:rsidRPr="002460EE" w:rsidTr="0054058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2460EE" w:rsidRDefault="000812FA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0D1BD5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3D52" w:rsidRPr="002460EE" w:rsidTr="0054058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2460EE" w:rsidRDefault="00315F12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bookmarkStart w:id="0" w:name="_GoBack"/>
            <w:bookmarkEnd w:id="0"/>
            <w:r w:rsidR="000D1BD5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3D52" w:rsidRPr="002460EE" w:rsidTr="0054058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2460EE" w:rsidRDefault="000812FA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0D1BD5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3D52" w:rsidRPr="002460EE" w:rsidTr="0054058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2460EE" w:rsidRDefault="000D1BD5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F3D52" w:rsidRPr="002460EE" w:rsidTr="0054058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2460EE" w:rsidRDefault="000D1BD5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2F3D52" w:rsidRPr="002460EE" w:rsidTr="0054058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2460EE" w:rsidRDefault="000D1BD5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F3D52" w:rsidRPr="002460EE" w:rsidTr="00CB00DF">
        <w:tc>
          <w:tcPr>
            <w:tcW w:w="1809" w:type="dxa"/>
            <w:shd w:val="clear" w:color="auto" w:fill="D9D9D9"/>
            <w:vAlign w:val="center"/>
          </w:tcPr>
          <w:p w:rsidR="00CB00DF" w:rsidRPr="002460EE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2460EE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9216CE" w:rsidRPr="002460EE" w:rsidRDefault="00C467A1" w:rsidP="00460FB4">
            <w:pPr>
              <w:spacing w:line="276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2460EE">
              <w:rPr>
                <w:rFonts w:ascii="Times New Roman" w:eastAsia="仿宋_GB2312" w:hAnsi="Times New Roman"/>
                <w:sz w:val="24"/>
                <w:szCs w:val="24"/>
              </w:rPr>
              <w:t>相关市场及市场份额：</w:t>
            </w:r>
          </w:p>
          <w:p w:rsidR="00CA2C00" w:rsidRPr="00464D58" w:rsidRDefault="005E6E18" w:rsidP="00464D58">
            <w:pPr>
              <w:pStyle w:val="a7"/>
              <w:numPr>
                <w:ilvl w:val="0"/>
                <w:numId w:val="2"/>
              </w:numPr>
              <w:spacing w:line="276" w:lineRule="auto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64D58">
              <w:rPr>
                <w:rFonts w:ascii="Times New Roman" w:eastAsia="仿宋_GB2312" w:hAnsi="Times New Roman"/>
                <w:sz w:val="24"/>
                <w:szCs w:val="24"/>
              </w:rPr>
              <w:t>中国工业互联网平台市场</w:t>
            </w:r>
            <w:r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；</w:t>
            </w:r>
            <w:r w:rsidR="005231C4"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合营企业市场份额为</w:t>
            </w:r>
            <w:r w:rsidR="005231C4"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0</w:t>
            </w:r>
            <w:r w:rsidR="005231C4"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；</w:t>
            </w:r>
            <w:r w:rsidR="00C467A1" w:rsidRPr="00464D58">
              <w:rPr>
                <w:rFonts w:ascii="Times New Roman" w:eastAsia="仿宋_GB2312" w:hAnsi="Times New Roman"/>
                <w:sz w:val="24"/>
                <w:szCs w:val="24"/>
              </w:rPr>
              <w:t>工业富联</w:t>
            </w:r>
            <w:r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市场份额为</w:t>
            </w:r>
            <w:r w:rsidR="00C467A1" w:rsidRPr="00464D58">
              <w:rPr>
                <w:rFonts w:ascii="Times New Roman" w:eastAsia="仿宋_GB2312" w:hAnsi="Times New Roman"/>
                <w:sz w:val="24"/>
                <w:szCs w:val="24"/>
              </w:rPr>
              <w:t>[0-5]%</w:t>
            </w:r>
            <w:r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45343C" w:rsidRPr="00464D58" w:rsidRDefault="0045343C" w:rsidP="00464D58">
            <w:pPr>
              <w:pStyle w:val="a7"/>
              <w:numPr>
                <w:ilvl w:val="0"/>
                <w:numId w:val="2"/>
              </w:numPr>
              <w:spacing w:line="276" w:lineRule="auto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华润集团在中国饮品市场的市场份额为</w:t>
            </w:r>
            <w:r w:rsidR="00C76531" w:rsidRPr="00464D58">
              <w:rPr>
                <w:rFonts w:ascii="Times New Roman" w:eastAsia="仿宋_GB2312" w:hAnsi="Times New Roman"/>
                <w:sz w:val="24"/>
                <w:szCs w:val="24"/>
              </w:rPr>
              <w:t>[0-5]%</w:t>
            </w:r>
            <w:r w:rsidR="00C76531"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；在中国医药市场的市场份额为</w:t>
            </w:r>
            <w:r w:rsidR="00C76531" w:rsidRPr="00464D58">
              <w:rPr>
                <w:rFonts w:ascii="Times New Roman" w:eastAsia="仿宋_GB2312" w:hAnsi="Times New Roman"/>
                <w:sz w:val="24"/>
                <w:szCs w:val="24"/>
              </w:rPr>
              <w:t>[0-5]%</w:t>
            </w:r>
            <w:r w:rsidR="00C76531"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；在中国建材市场的市场份额为</w:t>
            </w:r>
            <w:r w:rsidR="00C76531" w:rsidRPr="00464D58">
              <w:rPr>
                <w:rFonts w:ascii="Times New Roman" w:eastAsia="仿宋_GB2312" w:hAnsi="Times New Roman"/>
                <w:sz w:val="24"/>
                <w:szCs w:val="24"/>
              </w:rPr>
              <w:t>[0-5]%</w:t>
            </w:r>
            <w:r w:rsidR="00C76531"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C76531" w:rsidRPr="00464D58" w:rsidRDefault="00C76531" w:rsidP="00464D58">
            <w:pPr>
              <w:pStyle w:val="a7"/>
              <w:numPr>
                <w:ilvl w:val="0"/>
                <w:numId w:val="2"/>
              </w:numPr>
              <w:spacing w:line="276" w:lineRule="auto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中信集团在中国钢铁市场的市场份额为</w:t>
            </w:r>
            <w:r w:rsidRPr="00464D58">
              <w:rPr>
                <w:rFonts w:ascii="Times New Roman" w:eastAsia="仿宋_GB2312" w:hAnsi="Times New Roman"/>
                <w:sz w:val="24"/>
                <w:szCs w:val="24"/>
              </w:rPr>
              <w:t>[0-5]%</w:t>
            </w:r>
            <w:r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；在中国汽车零部件市场的市场份额为</w:t>
            </w:r>
            <w:r w:rsidRPr="00464D58">
              <w:rPr>
                <w:rFonts w:ascii="Times New Roman" w:eastAsia="仿宋_GB2312" w:hAnsi="Times New Roman"/>
                <w:sz w:val="24"/>
                <w:szCs w:val="24"/>
              </w:rPr>
              <w:t>[0-5]%</w:t>
            </w:r>
            <w:r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；在中国工程机械市场的市场份额为</w:t>
            </w:r>
            <w:r w:rsidRPr="00464D58">
              <w:rPr>
                <w:rFonts w:ascii="Times New Roman" w:eastAsia="仿宋_GB2312" w:hAnsi="Times New Roman"/>
                <w:sz w:val="24"/>
                <w:szCs w:val="24"/>
              </w:rPr>
              <w:t>[0-5]%</w:t>
            </w:r>
            <w:r w:rsidRPr="00464D58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</w:tc>
      </w:tr>
    </w:tbl>
    <w:p w:rsidR="00CB00DF" w:rsidRPr="002460EE" w:rsidRDefault="00CB00DF" w:rsidP="00460FB4">
      <w:pPr>
        <w:snapToGrid w:val="0"/>
        <w:spacing w:line="276" w:lineRule="auto"/>
        <w:jc w:val="left"/>
        <w:rPr>
          <w:rFonts w:ascii="Times New Roman" w:eastAsia="仿宋_GB2312" w:hAnsi="Times New Roman"/>
          <w:sz w:val="24"/>
          <w:szCs w:val="24"/>
        </w:rPr>
      </w:pPr>
    </w:p>
    <w:p w:rsidR="00CB00DF" w:rsidRPr="002460EE" w:rsidRDefault="00CB00DF" w:rsidP="00460FB4">
      <w:pPr>
        <w:snapToGrid w:val="0"/>
        <w:spacing w:line="276" w:lineRule="auto"/>
        <w:jc w:val="left"/>
        <w:rPr>
          <w:rFonts w:ascii="Times New Roman" w:eastAsia="仿宋_GB2312" w:hAnsi="Times New Roman"/>
          <w:sz w:val="24"/>
          <w:szCs w:val="24"/>
        </w:rPr>
      </w:pPr>
      <w:r w:rsidRPr="002460EE">
        <w:rPr>
          <w:rFonts w:ascii="Times New Roman" w:eastAsia="仿宋_GB2312" w:hAnsi="Times New Roman"/>
          <w:sz w:val="24"/>
          <w:szCs w:val="24"/>
        </w:rPr>
        <w:t>注解：</w:t>
      </w:r>
    </w:p>
    <w:p w:rsidR="00CB00DF" w:rsidRPr="002460EE" w:rsidRDefault="00CB00DF" w:rsidP="00460FB4">
      <w:pPr>
        <w:snapToGrid w:val="0"/>
        <w:spacing w:line="276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2460EE">
        <w:rPr>
          <w:rFonts w:ascii="Times New Roman" w:eastAsia="仿宋_GB2312" w:hAnsi="Times New Roman"/>
          <w:sz w:val="24"/>
          <w:szCs w:val="24"/>
        </w:rPr>
        <w:t>1.</w:t>
      </w:r>
      <w:r w:rsidRPr="002460EE">
        <w:rPr>
          <w:rFonts w:ascii="Times New Roman" w:eastAsia="仿宋_GB2312" w:hAnsi="Times New Roman"/>
          <w:sz w:val="24"/>
          <w:szCs w:val="24"/>
        </w:rPr>
        <w:t>申报方申请简易案件的理由是基于</w:t>
      </w:r>
      <w:r w:rsidRPr="002460EE">
        <w:rPr>
          <w:rFonts w:ascii="Times New Roman" w:eastAsia="仿宋_GB2312" w:hAnsi="Times New Roman"/>
          <w:sz w:val="24"/>
          <w:szCs w:val="24"/>
        </w:rPr>
        <w:t>1-3</w:t>
      </w:r>
      <w:r w:rsidRPr="002460EE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2460EE">
        <w:rPr>
          <w:rFonts w:ascii="Times New Roman" w:eastAsia="仿宋_GB2312" w:hAnsi="Times New Roman"/>
          <w:sz w:val="24"/>
          <w:szCs w:val="24"/>
        </w:rPr>
        <w:t>5%</w:t>
      </w:r>
      <w:r w:rsidRPr="002460EE">
        <w:rPr>
          <w:rFonts w:ascii="Times New Roman" w:eastAsia="仿宋_GB2312" w:hAnsi="Times New Roman"/>
          <w:sz w:val="24"/>
          <w:szCs w:val="24"/>
        </w:rPr>
        <w:t>。</w:t>
      </w:r>
      <w:r w:rsidRPr="002460EE">
        <w:rPr>
          <w:rFonts w:ascii="Times New Roman" w:eastAsia="仿宋_GB2312" w:hAnsi="Times New Roman"/>
          <w:sz w:val="24"/>
          <w:szCs w:val="24"/>
        </w:rPr>
        <w:t>1-3</w:t>
      </w:r>
      <w:r w:rsidRPr="002460EE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:rsidR="00CB00DF" w:rsidRPr="002460EE" w:rsidRDefault="00CB00DF" w:rsidP="00460FB4">
      <w:pPr>
        <w:spacing w:line="276" w:lineRule="auto"/>
        <w:ind w:firstLineChars="200" w:firstLine="480"/>
        <w:rPr>
          <w:rFonts w:ascii="Times New Roman" w:eastAsia="仿宋_GB2312" w:hAnsi="Times New Roman"/>
          <w:sz w:val="24"/>
          <w:szCs w:val="24"/>
        </w:rPr>
      </w:pPr>
      <w:r w:rsidRPr="002460EE">
        <w:rPr>
          <w:rFonts w:ascii="Times New Roman" w:eastAsia="仿宋_GB2312" w:hAnsi="Times New Roman"/>
          <w:sz w:val="24"/>
          <w:szCs w:val="24"/>
        </w:rPr>
        <w:t>2.</w:t>
      </w:r>
      <w:r w:rsidRPr="002460EE">
        <w:rPr>
          <w:rFonts w:ascii="Times New Roman" w:eastAsia="仿宋_GB2312" w:hAnsi="Times New Roman"/>
          <w:sz w:val="24"/>
          <w:szCs w:val="24"/>
        </w:rPr>
        <w:t>申报方申请简易案件的理由是基于第</w:t>
      </w:r>
      <w:r w:rsidRPr="002460EE">
        <w:rPr>
          <w:rFonts w:ascii="Times New Roman" w:eastAsia="仿宋_GB2312" w:hAnsi="Times New Roman"/>
          <w:sz w:val="24"/>
          <w:szCs w:val="24"/>
        </w:rPr>
        <w:t>4</w:t>
      </w:r>
      <w:r w:rsidRPr="002460EE">
        <w:rPr>
          <w:rFonts w:ascii="Times New Roman" w:eastAsia="仿宋_GB2312" w:hAnsi="Times New Roman"/>
          <w:sz w:val="24"/>
          <w:szCs w:val="24"/>
        </w:rPr>
        <w:t>项、第</w:t>
      </w:r>
      <w:r w:rsidRPr="002460EE">
        <w:rPr>
          <w:rFonts w:ascii="Times New Roman" w:eastAsia="仿宋_GB2312" w:hAnsi="Times New Roman"/>
          <w:sz w:val="24"/>
          <w:szCs w:val="24"/>
        </w:rPr>
        <w:t>5</w:t>
      </w:r>
      <w:r w:rsidRPr="002460EE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2460EE">
        <w:rPr>
          <w:rFonts w:ascii="Times New Roman" w:eastAsia="仿宋_GB2312" w:hAnsi="Times New Roman"/>
          <w:sz w:val="24"/>
          <w:szCs w:val="24"/>
        </w:rPr>
        <w:br/>
        <w:t xml:space="preserve">    3.</w:t>
      </w:r>
      <w:r w:rsidRPr="002460EE">
        <w:rPr>
          <w:rFonts w:ascii="Times New Roman" w:eastAsia="仿宋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2460EE">
        <w:rPr>
          <w:rFonts w:ascii="Times New Roman" w:eastAsia="仿宋_GB2312" w:hAnsi="Times New Roman"/>
          <w:sz w:val="24"/>
          <w:szCs w:val="24"/>
        </w:rPr>
        <w:t>1</w:t>
      </w:r>
      <w:r w:rsidRPr="002460EE">
        <w:rPr>
          <w:rFonts w:ascii="Times New Roman" w:eastAsia="仿宋_GB2312" w:hAnsi="Times New Roman"/>
          <w:sz w:val="24"/>
          <w:szCs w:val="24"/>
        </w:rPr>
        <w:t>项和第</w:t>
      </w:r>
      <w:r w:rsidRPr="002460EE">
        <w:rPr>
          <w:rFonts w:ascii="Times New Roman" w:eastAsia="仿宋_GB2312" w:hAnsi="Times New Roman"/>
          <w:sz w:val="24"/>
          <w:szCs w:val="24"/>
        </w:rPr>
        <w:t>6</w:t>
      </w:r>
      <w:r w:rsidRPr="002460EE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2460EE">
        <w:rPr>
          <w:rFonts w:ascii="Times New Roman" w:eastAsia="仿宋_GB2312" w:hAnsi="Times New Roman"/>
          <w:sz w:val="24"/>
          <w:szCs w:val="24"/>
        </w:rPr>
        <w:t>5%</w:t>
      </w:r>
      <w:r w:rsidRPr="002460EE">
        <w:rPr>
          <w:rFonts w:ascii="Times New Roman" w:eastAsia="仿宋_GB2312" w:hAnsi="Times New Roman"/>
          <w:sz w:val="24"/>
          <w:szCs w:val="24"/>
        </w:rPr>
        <w:t>。</w:t>
      </w:r>
    </w:p>
    <w:p w:rsidR="00CB00DF" w:rsidRPr="002460EE" w:rsidRDefault="00CB00DF" w:rsidP="00460FB4">
      <w:pPr>
        <w:spacing w:line="276" w:lineRule="auto"/>
        <w:rPr>
          <w:rFonts w:ascii="Times New Roman" w:eastAsia="仿宋_GB2312" w:hAnsi="Times New Roman"/>
          <w:sz w:val="24"/>
          <w:szCs w:val="24"/>
        </w:rPr>
      </w:pPr>
    </w:p>
    <w:p w:rsidR="000F5E24" w:rsidRPr="002460EE" w:rsidRDefault="00C0750A" w:rsidP="00460FB4">
      <w:pPr>
        <w:spacing w:line="276" w:lineRule="auto"/>
        <w:rPr>
          <w:rFonts w:ascii="Times New Roman" w:eastAsia="仿宋_GB2312" w:hAnsi="Times New Roman"/>
          <w:sz w:val="24"/>
          <w:szCs w:val="24"/>
        </w:rPr>
      </w:pPr>
    </w:p>
    <w:sectPr w:rsidR="000F5E24" w:rsidRPr="002460EE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50A" w:rsidRDefault="00C0750A" w:rsidP="007703E0">
      <w:r>
        <w:separator/>
      </w:r>
    </w:p>
  </w:endnote>
  <w:endnote w:type="continuationSeparator" w:id="0">
    <w:p w:rsidR="00C0750A" w:rsidRDefault="00C0750A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50A" w:rsidRDefault="00C0750A" w:rsidP="007703E0">
      <w:r>
        <w:separator/>
      </w:r>
    </w:p>
  </w:footnote>
  <w:footnote w:type="continuationSeparator" w:id="0">
    <w:p w:rsidR="00C0750A" w:rsidRDefault="00C0750A" w:rsidP="0077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2727A9"/>
    <w:multiLevelType w:val="hybridMultilevel"/>
    <w:tmpl w:val="5E9292B2"/>
    <w:lvl w:ilvl="0" w:tplc="B9D84D8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FB16C8"/>
    <w:multiLevelType w:val="hybridMultilevel"/>
    <w:tmpl w:val="4678D9F6"/>
    <w:lvl w:ilvl="0" w:tplc="2C8A02C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56EA9"/>
    <w:rsid w:val="00071BFC"/>
    <w:rsid w:val="000812FA"/>
    <w:rsid w:val="000D1BD5"/>
    <w:rsid w:val="000D7EBA"/>
    <w:rsid w:val="001164CD"/>
    <w:rsid w:val="00155717"/>
    <w:rsid w:val="001837A3"/>
    <w:rsid w:val="00213BCA"/>
    <w:rsid w:val="002460EE"/>
    <w:rsid w:val="002F3D52"/>
    <w:rsid w:val="00300479"/>
    <w:rsid w:val="00315F12"/>
    <w:rsid w:val="003166E5"/>
    <w:rsid w:val="003578D8"/>
    <w:rsid w:val="00397794"/>
    <w:rsid w:val="003C0AEB"/>
    <w:rsid w:val="003E4BB9"/>
    <w:rsid w:val="00433903"/>
    <w:rsid w:val="0045343C"/>
    <w:rsid w:val="00460FB4"/>
    <w:rsid w:val="00464D58"/>
    <w:rsid w:val="004F431A"/>
    <w:rsid w:val="004F7688"/>
    <w:rsid w:val="00502E9E"/>
    <w:rsid w:val="005231C4"/>
    <w:rsid w:val="00533330"/>
    <w:rsid w:val="00540581"/>
    <w:rsid w:val="00544AE7"/>
    <w:rsid w:val="00561070"/>
    <w:rsid w:val="00594088"/>
    <w:rsid w:val="005E6E18"/>
    <w:rsid w:val="006467D8"/>
    <w:rsid w:val="006737E4"/>
    <w:rsid w:val="006A531B"/>
    <w:rsid w:val="006F719C"/>
    <w:rsid w:val="006F7693"/>
    <w:rsid w:val="00710140"/>
    <w:rsid w:val="007327A7"/>
    <w:rsid w:val="007703E0"/>
    <w:rsid w:val="00776024"/>
    <w:rsid w:val="007B6176"/>
    <w:rsid w:val="007F2275"/>
    <w:rsid w:val="008200ED"/>
    <w:rsid w:val="008350F4"/>
    <w:rsid w:val="008E1DBF"/>
    <w:rsid w:val="00915F0F"/>
    <w:rsid w:val="009216CE"/>
    <w:rsid w:val="009221E2"/>
    <w:rsid w:val="009532DF"/>
    <w:rsid w:val="00975C84"/>
    <w:rsid w:val="00997019"/>
    <w:rsid w:val="009A5029"/>
    <w:rsid w:val="009C1563"/>
    <w:rsid w:val="009C727A"/>
    <w:rsid w:val="009D38D5"/>
    <w:rsid w:val="009D5152"/>
    <w:rsid w:val="00A31589"/>
    <w:rsid w:val="00A53F26"/>
    <w:rsid w:val="00A8399C"/>
    <w:rsid w:val="00AA0CC5"/>
    <w:rsid w:val="00B16AFE"/>
    <w:rsid w:val="00B65DD5"/>
    <w:rsid w:val="00BA4778"/>
    <w:rsid w:val="00BD10B6"/>
    <w:rsid w:val="00C07076"/>
    <w:rsid w:val="00C0750A"/>
    <w:rsid w:val="00C467A1"/>
    <w:rsid w:val="00C76531"/>
    <w:rsid w:val="00CA2C00"/>
    <w:rsid w:val="00CB00DF"/>
    <w:rsid w:val="00CB2271"/>
    <w:rsid w:val="00D434CD"/>
    <w:rsid w:val="00D56F4A"/>
    <w:rsid w:val="00D73C72"/>
    <w:rsid w:val="00D8317D"/>
    <w:rsid w:val="00DB0E4F"/>
    <w:rsid w:val="00E00ACB"/>
    <w:rsid w:val="00E0592B"/>
    <w:rsid w:val="00E21D54"/>
    <w:rsid w:val="00E31738"/>
    <w:rsid w:val="00E33332"/>
    <w:rsid w:val="00E86786"/>
    <w:rsid w:val="00E9290E"/>
    <w:rsid w:val="00EC1743"/>
    <w:rsid w:val="00ED2F80"/>
    <w:rsid w:val="00EE0A39"/>
    <w:rsid w:val="00F01FBB"/>
    <w:rsid w:val="00F04050"/>
    <w:rsid w:val="00F1624E"/>
    <w:rsid w:val="00F237C1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8E629C-9CE8-4B16-9DA0-842C34B5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216CE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C467A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467A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King &amp; Wood Mallesons</cp:lastModifiedBy>
  <cp:revision>21</cp:revision>
  <dcterms:created xsi:type="dcterms:W3CDTF">2019-08-14T11:20:00Z</dcterms:created>
  <dcterms:modified xsi:type="dcterms:W3CDTF">2020-07-07T07:47:00Z</dcterms:modified>
</cp:coreProperties>
</file>