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jc w:val="center"/>
        <w:rPr>
          <w:rFonts w:ascii="Times New Roman" w:hAnsi="Times New Roman" w:eastAsia="楷体_GB2312"/>
          <w:b/>
          <w:sz w:val="32"/>
          <w:szCs w:val="32"/>
        </w:rPr>
      </w:pPr>
      <w:bookmarkStart w:id="0" w:name="_GoBack"/>
      <w:bookmarkEnd w:id="0"/>
      <w:r>
        <w:rPr>
          <w:rFonts w:ascii="Times New Roman" w:hAnsi="Times New Roman" w:eastAsia="楷体_GB2312"/>
          <w:b/>
          <w:sz w:val="32"/>
          <w:szCs w:val="32"/>
        </w:rPr>
        <w:t>经营者集中简易案件公示表</w:t>
      </w:r>
    </w:p>
    <w:tbl>
      <w:tblPr>
        <w:tblStyle w:val="6"/>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0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案件名称</w:t>
            </w: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中山中汇投资集团有限公司通过股权收购及合同取得博天环境集团股份有限公司的控制权案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9" w:hRule="atLeast"/>
        </w:trPr>
        <w:tc>
          <w:tcPr>
            <w:tcW w:w="1809" w:type="dxa"/>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交易概况</w:t>
            </w:r>
          </w:p>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（限200字内）</w:t>
            </w: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山中汇投资集团有限公司（“中汇集团”）拟通过大宗交易、接受表决权委托和收购博天环境集团股份有限公司（“博天环境”）向其非公开发行股票的方式取得对博天环境的控制权。交易完成后，中汇集团持有博天环境 128,701,556 股股份，占博天环境总股本的 23.85%，成为博天环境的控股股东，拥有对博天环境的单独控制权。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参与集中的</w:t>
            </w:r>
          </w:p>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经营者简介</w:t>
            </w:r>
          </w:p>
        </w:tc>
        <w:tc>
          <w:tcPr>
            <w:tcW w:w="1796" w:type="dxa"/>
          </w:tcPr>
          <w:p>
            <w:pPr>
              <w:pStyle w:val="8"/>
              <w:numPr>
                <w:ilvl w:val="0"/>
                <w:numId w:val="1"/>
              </w:numPr>
              <w:spacing w:before="156" w:beforeLines="50" w:after="156" w:afterLines="50"/>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中汇集团</w:t>
            </w:r>
          </w:p>
        </w:tc>
        <w:tc>
          <w:tcPr>
            <w:tcW w:w="5008" w:type="dxa"/>
          </w:tcPr>
          <w:p>
            <w:pPr>
              <w:spacing w:before="156" w:beforeLines="50" w:after="156" w:afterLines="5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汇集团由中山市人民政府国有资产监督管理委员会（“中山市国资委”）于2007年8月24日出资设立。中汇集团定位为中山市城市公用事业产业的投资、建设和经营管理者，主要业务为对直接持有产权和授权持有产权以及委托管理的企业进行经营管理、对外投资。目前，中汇集团下属全资、控股子公司主要业务涵盖城镇供水、污水处理、污泥处理、固废处理、农贸市场、环卫环保、工程建设、旅游酒店、水上客运和金融投资等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1796" w:type="dxa"/>
          </w:tcPr>
          <w:p>
            <w:pPr>
              <w:pStyle w:val="8"/>
              <w:numPr>
                <w:ilvl w:val="0"/>
                <w:numId w:val="1"/>
              </w:numPr>
              <w:spacing w:before="156" w:beforeLines="50" w:after="156" w:afterLines="50"/>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博天环境</w:t>
            </w:r>
          </w:p>
        </w:tc>
        <w:tc>
          <w:tcPr>
            <w:tcW w:w="5008" w:type="dxa"/>
          </w:tcPr>
          <w:p>
            <w:pPr>
              <w:spacing w:before="156" w:beforeLines="50" w:after="156" w:afterLines="5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博天环境于1995年1月18日设立，于2017年2月在上海证券交易所挂牌上市，股票代码603603。博天环境主要业务为在城市水环境、工业与能源水系统、生态修复和土壤修复等领域提供咨询设计、系统集成、项目管理、核心设备制造、投资运营等一体化的解决方案，主要服务和产品包括水环境解决方案（工程总承包）、水务投资运营管理、土壤修复和水处理装备等。目前博天环境的实际控制人为赵笠钧先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简易案件理由（可以单选，也可以多选）</w:t>
            </w: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sym w:font="Wingdings" w:char="F0FE"/>
            </w:r>
            <w:r>
              <w:rPr>
                <w:rFonts w:ascii="Times New Roman" w:hAnsi="Times New Roman" w:eastAsia="楷体_GB2312"/>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p>
        </w:tc>
        <w:tc>
          <w:tcPr>
            <w:tcW w:w="6804" w:type="dxa"/>
            <w:gridSpan w:val="2"/>
          </w:tcPr>
          <w:p>
            <w:pPr>
              <w:spacing w:before="156" w:beforeLines="50" w:after="156" w:afterLines="50"/>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14" w:hRule="atLeast"/>
        </w:trPr>
        <w:tc>
          <w:tcPr>
            <w:tcW w:w="1809" w:type="dxa"/>
            <w:shd w:val="clear" w:color="auto" w:fill="D9D9D9"/>
            <w:vAlign w:val="center"/>
          </w:tcPr>
          <w:p>
            <w:pPr>
              <w:spacing w:before="156" w:beforeLines="50" w:after="156" w:afterLines="50"/>
              <w:jc w:val="center"/>
              <w:rPr>
                <w:rFonts w:ascii="Times New Roman" w:hAnsi="Times New Roman" w:eastAsia="楷体_GB2312"/>
                <w:b/>
                <w:color w:val="333333"/>
                <w:kern w:val="0"/>
                <w:sz w:val="24"/>
                <w:szCs w:val="24"/>
              </w:rPr>
            </w:pPr>
            <w:r>
              <w:rPr>
                <w:rFonts w:ascii="Times New Roman" w:hAnsi="Times New Roman" w:eastAsia="楷体_GB2312"/>
                <w:b/>
                <w:color w:val="333333"/>
                <w:kern w:val="0"/>
                <w:sz w:val="24"/>
                <w:szCs w:val="24"/>
              </w:rPr>
              <w:t>备注</w:t>
            </w:r>
          </w:p>
        </w:tc>
        <w:tc>
          <w:tcPr>
            <w:tcW w:w="6804" w:type="dxa"/>
            <w:gridSpan w:val="2"/>
          </w:tcPr>
          <w:tbl>
            <w:tblPr>
              <w:tblStyle w:val="7"/>
              <w:tblpPr w:leftFromText="180" w:rightFromText="180" w:vertAnchor="page" w:horzAnchor="margin" w:tblpY="331"/>
              <w:tblOverlap w:val="never"/>
              <w:tblW w:w="64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1978"/>
              <w:gridCol w:w="2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atLeast"/>
              </w:trPr>
              <w:tc>
                <w:tcPr>
                  <w:tcW w:w="2403"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相关商品市场</w:t>
                  </w:r>
                </w:p>
              </w:tc>
              <w:tc>
                <w:tcPr>
                  <w:tcW w:w="1978"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相关地域市场</w:t>
                  </w:r>
                </w:p>
              </w:tc>
              <w:tc>
                <w:tcPr>
                  <w:tcW w:w="2055"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合并市场份额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atLeast"/>
              </w:trPr>
              <w:tc>
                <w:tcPr>
                  <w:tcW w:w="2403"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城市公共供水市场</w:t>
                  </w:r>
                </w:p>
              </w:tc>
              <w:tc>
                <w:tcPr>
                  <w:tcW w:w="1978"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中国</w:t>
                  </w:r>
                </w:p>
              </w:tc>
              <w:tc>
                <w:tcPr>
                  <w:tcW w:w="2055"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[0-5]</w:t>
                  </w:r>
                  <w:r>
                    <w:rPr>
                      <w:rFonts w:ascii="Times New Roman" w:hAnsi="Times New Roman" w:eastAsia="楷体_GB2312"/>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atLeast"/>
              </w:trPr>
              <w:tc>
                <w:tcPr>
                  <w:tcW w:w="2403"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市政污水处理市场</w:t>
                  </w:r>
                </w:p>
              </w:tc>
              <w:tc>
                <w:tcPr>
                  <w:tcW w:w="1978"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中国</w:t>
                  </w:r>
                </w:p>
              </w:tc>
              <w:tc>
                <w:tcPr>
                  <w:tcW w:w="2055" w:type="dxa"/>
                  <w:vAlign w:val="center"/>
                </w:tcPr>
                <w:p>
                  <w:pPr>
                    <w:spacing w:before="156" w:beforeLines="50" w:after="156" w:afterLines="50"/>
                    <w:jc w:val="center"/>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[0-5]</w:t>
                  </w:r>
                  <w:r>
                    <w:rPr>
                      <w:rFonts w:ascii="Times New Roman" w:hAnsi="Times New Roman" w:eastAsia="楷体_GB2312"/>
                      <w:color w:val="333333"/>
                      <w:kern w:val="0"/>
                      <w:sz w:val="24"/>
                      <w:szCs w:val="24"/>
                    </w:rPr>
                    <w:t>%</w:t>
                  </w:r>
                </w:p>
              </w:tc>
            </w:tr>
          </w:tbl>
          <w:p>
            <w:pPr>
              <w:spacing w:before="156" w:beforeLines="50" w:after="156" w:afterLines="50"/>
              <w:rPr>
                <w:rFonts w:ascii="Times New Roman" w:hAnsi="Times New Roman" w:eastAsia="楷体_GB2312"/>
                <w:color w:val="333333"/>
                <w:kern w:val="0"/>
                <w:sz w:val="24"/>
                <w:szCs w:val="24"/>
              </w:rPr>
            </w:pPr>
          </w:p>
        </w:tc>
      </w:tr>
    </w:tbl>
    <w:p>
      <w:pPr>
        <w:spacing w:before="156" w:beforeLines="50" w:after="156" w:afterLines="50"/>
        <w:rPr>
          <w:rFonts w:ascii="Times New Roman" w:hAnsi="Times New Roman" w:eastAsia="楷体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245AC"/>
    <w:multiLevelType w:val="multilevel"/>
    <w:tmpl w:val="0D0245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OfficeIni" w:val="Beijing - FenXun Partners - SIMPLIFIED CHINESE.ini"/>
  </w:docVars>
  <w:rsids>
    <w:rsidRoot w:val="00CB00DF"/>
    <w:rsid w:val="00037065"/>
    <w:rsid w:val="000D7EBA"/>
    <w:rsid w:val="001164CD"/>
    <w:rsid w:val="00155717"/>
    <w:rsid w:val="001837A3"/>
    <w:rsid w:val="00243D1A"/>
    <w:rsid w:val="00362C9F"/>
    <w:rsid w:val="00365A8D"/>
    <w:rsid w:val="003C0AEB"/>
    <w:rsid w:val="00427874"/>
    <w:rsid w:val="004D65C0"/>
    <w:rsid w:val="004F7688"/>
    <w:rsid w:val="00523760"/>
    <w:rsid w:val="006467D8"/>
    <w:rsid w:val="006A531B"/>
    <w:rsid w:val="006F7693"/>
    <w:rsid w:val="00710140"/>
    <w:rsid w:val="007A137E"/>
    <w:rsid w:val="007F2275"/>
    <w:rsid w:val="0085618B"/>
    <w:rsid w:val="008715A0"/>
    <w:rsid w:val="00915F0F"/>
    <w:rsid w:val="00946D46"/>
    <w:rsid w:val="009532DF"/>
    <w:rsid w:val="00992F05"/>
    <w:rsid w:val="00997019"/>
    <w:rsid w:val="009A5029"/>
    <w:rsid w:val="009D38D5"/>
    <w:rsid w:val="00A53F26"/>
    <w:rsid w:val="00AA0CC5"/>
    <w:rsid w:val="00B16AFE"/>
    <w:rsid w:val="00B65DD5"/>
    <w:rsid w:val="00BA0E9F"/>
    <w:rsid w:val="00BD0768"/>
    <w:rsid w:val="00BD10B6"/>
    <w:rsid w:val="00C07076"/>
    <w:rsid w:val="00C651C8"/>
    <w:rsid w:val="00CB00DF"/>
    <w:rsid w:val="00D73C72"/>
    <w:rsid w:val="00E0592B"/>
    <w:rsid w:val="00E31738"/>
    <w:rsid w:val="00E86786"/>
    <w:rsid w:val="00EC0155"/>
    <w:rsid w:val="00ED2F80"/>
    <w:rsid w:val="00F1624E"/>
    <w:rsid w:val="00F32F8A"/>
    <w:rsid w:val="00F810AA"/>
    <w:rsid w:val="00FB43EC"/>
    <w:rsid w:val="00FB6B40"/>
    <w:rsid w:val="548F7AB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link w:val="9"/>
    <w:qFormat/>
    <w:uiPriority w:val="0"/>
    <w:pPr>
      <w:widowControl/>
      <w:spacing w:after="180" w:line="260" w:lineRule="atLeast"/>
      <w:jc w:val="left"/>
    </w:pPr>
    <w:rPr>
      <w:rFonts w:asciiTheme="minorHAnsi" w:hAnsiTheme="minorHAnsi" w:cstheme="minorBidi"/>
      <w:kern w:val="0"/>
      <w:sz w:val="22"/>
      <w:szCs w:val="28"/>
      <w:lang w:val="en-GB"/>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8">
    <w:name w:val="List Paragraph"/>
    <w:basedOn w:val="1"/>
    <w:qFormat/>
    <w:uiPriority w:val="34"/>
    <w:pPr>
      <w:ind w:firstLine="420" w:firstLineChars="200"/>
    </w:pPr>
  </w:style>
  <w:style w:type="character" w:customStyle="1" w:styleId="9">
    <w:name w:val="正文文本 字符"/>
    <w:basedOn w:val="5"/>
    <w:link w:val="2"/>
    <w:uiPriority w:val="0"/>
    <w:rPr>
      <w:rFonts w:eastAsia="宋体"/>
      <w:kern w:val="0"/>
      <w:sz w:val="22"/>
      <w:szCs w:val="28"/>
      <w:lang w:val="en-GB"/>
    </w:rPr>
  </w:style>
  <w:style w:type="character" w:customStyle="1" w:styleId="10">
    <w:name w:val="页眉 字符"/>
    <w:basedOn w:val="5"/>
    <w:link w:val="4"/>
    <w:uiPriority w:val="99"/>
    <w:rPr>
      <w:rFonts w:ascii="Calibri" w:hAnsi="Calibri" w:eastAsia="宋体" w:cs="Times New Roman"/>
      <w:sz w:val="18"/>
      <w:szCs w:val="18"/>
    </w:rPr>
  </w:style>
  <w:style w:type="character" w:customStyle="1" w:styleId="11">
    <w:name w:val="页脚 字符"/>
    <w:basedOn w:val="5"/>
    <w:link w:val="3"/>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149</Words>
  <Characters>854</Characters>
  <Lines>7</Lines>
  <Paragraphs>2</Paragraphs>
  <TotalTime>0</TotalTime>
  <ScaleCrop>false</ScaleCrop>
  <LinksUpToDate>false</LinksUpToDate>
  <CharactersWithSpaces>1001</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陈媚</cp:lastModifiedBy>
  <dcterms:modified xsi:type="dcterms:W3CDTF">2020-08-21T02:02:15Z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