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FCFEA" w14:textId="77777777" w:rsidR="00094095" w:rsidRPr="00D87019" w:rsidRDefault="00094095" w:rsidP="003F1E8A">
      <w:pPr>
        <w:spacing w:line="440" w:lineRule="exact"/>
        <w:jc w:val="center"/>
        <w:rPr>
          <w:rFonts w:ascii="Times New Roman" w:hAnsi="Times New Roman"/>
          <w:sz w:val="30"/>
          <w:szCs w:val="30"/>
        </w:rPr>
      </w:pPr>
      <w:bookmarkStart w:id="0" w:name="_GoBack"/>
      <w:bookmarkEnd w:id="0"/>
      <w:r w:rsidRPr="00D87019">
        <w:rPr>
          <w:rFonts w:ascii="Times New Roman" w:hAnsi="Times New Roman"/>
          <w:sz w:val="30"/>
          <w:szCs w:val="30"/>
        </w:rPr>
        <w:t>经营者集中简易案件公示表</w:t>
      </w:r>
    </w:p>
    <w:p w14:paraId="49483107" w14:textId="77777777" w:rsidR="00094095" w:rsidRPr="00D87019" w:rsidRDefault="00094095" w:rsidP="00094095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937"/>
        <w:gridCol w:w="5153"/>
      </w:tblGrid>
      <w:tr w:rsidR="00594568" w:rsidRPr="00D87019" w14:paraId="2E128CD3" w14:textId="77777777" w:rsidTr="00594568">
        <w:tc>
          <w:tcPr>
            <w:tcW w:w="1668" w:type="dxa"/>
            <w:shd w:val="clear" w:color="auto" w:fill="D9D9D9"/>
          </w:tcPr>
          <w:p w14:paraId="718DBE65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案件名称</w:t>
            </w:r>
          </w:p>
        </w:tc>
        <w:tc>
          <w:tcPr>
            <w:tcW w:w="7090" w:type="dxa"/>
            <w:gridSpan w:val="2"/>
          </w:tcPr>
          <w:p w14:paraId="65CE1543" w14:textId="1770E499" w:rsidR="00094095" w:rsidRPr="00D87019" w:rsidRDefault="00C76F62" w:rsidP="003F1E8A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国家电力投资集团有限公司和西门子股份公司收购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GNA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第一热电公司等两家公司股权案</w:t>
            </w:r>
          </w:p>
        </w:tc>
      </w:tr>
      <w:tr w:rsidR="00594568" w:rsidRPr="00D87019" w14:paraId="61DE5AE3" w14:textId="77777777" w:rsidTr="00594568">
        <w:trPr>
          <w:trHeight w:val="993"/>
        </w:trPr>
        <w:tc>
          <w:tcPr>
            <w:tcW w:w="1668" w:type="dxa"/>
            <w:shd w:val="clear" w:color="auto" w:fill="D9D9D9"/>
          </w:tcPr>
          <w:p w14:paraId="18B13A32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交易概况（限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200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字内）</w:t>
            </w:r>
          </w:p>
        </w:tc>
        <w:tc>
          <w:tcPr>
            <w:tcW w:w="7090" w:type="dxa"/>
            <w:gridSpan w:val="2"/>
          </w:tcPr>
          <w:p w14:paraId="71E7BA2E" w14:textId="5F1F9E51" w:rsidR="00094095" w:rsidRPr="00D87019" w:rsidRDefault="00C76F62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目标公司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GNA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第一热电公司和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GNA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第二热电公司将在巴西</w:t>
            </w:r>
            <w:r w:rsidR="00BB591D" w:rsidRPr="00D87019">
              <w:rPr>
                <w:rFonts w:ascii="Times New Roman" w:eastAsia="FangSong_GB2312" w:hAnsi="Times New Roman"/>
                <w:sz w:val="24"/>
                <w:szCs w:val="24"/>
              </w:rPr>
              <w:t>建设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和运营发电站。拟议交易后，两家目标公司都将由</w:t>
            </w:r>
            <w:r w:rsidR="00D87019" w:rsidRPr="00D87019">
              <w:rPr>
                <w:rFonts w:ascii="Times New Roman" w:eastAsia="FangSong_GB2312" w:hAnsi="Times New Roman"/>
                <w:sz w:val="24"/>
                <w:szCs w:val="24"/>
              </w:rPr>
              <w:t>国家电力投资集团有限公司（</w:t>
            </w:r>
            <w:r w:rsidR="00D87019" w:rsidRPr="00D87019">
              <w:rPr>
                <w:rFonts w:ascii="Times New Roman" w:eastAsia="FangSong_GB2312" w:hAnsi="Times New Roman"/>
                <w:sz w:val="24"/>
                <w:szCs w:val="24"/>
              </w:rPr>
              <w:t>“</w:t>
            </w:r>
            <w:r w:rsidR="00D87019" w:rsidRPr="00D87019">
              <w:rPr>
                <w:rFonts w:ascii="Times New Roman" w:eastAsia="FangSong_GB2312" w:hAnsi="Times New Roman"/>
                <w:b/>
                <w:bCs/>
                <w:sz w:val="24"/>
                <w:szCs w:val="24"/>
              </w:rPr>
              <w:t>国家电投</w:t>
            </w:r>
            <w:r w:rsidR="00D87019" w:rsidRPr="00D87019">
              <w:rPr>
                <w:rFonts w:ascii="Times New Roman" w:eastAsia="FangSong_GB2312" w:hAnsi="Times New Roman"/>
                <w:sz w:val="24"/>
                <w:szCs w:val="24"/>
              </w:rPr>
              <w:t>”</w:t>
            </w:r>
            <w:r w:rsidR="00D87019" w:rsidRPr="00D87019">
              <w:rPr>
                <w:rFonts w:ascii="Times New Roman" w:eastAsia="FangSong_GB2312" w:hAnsi="Times New Roman"/>
                <w:sz w:val="24"/>
                <w:szCs w:val="24"/>
              </w:rPr>
              <w:t>）、西门子股份公司（</w:t>
            </w:r>
            <w:r w:rsidR="00D87019" w:rsidRPr="00D87019">
              <w:rPr>
                <w:rFonts w:ascii="Times New Roman" w:eastAsia="FangSong_GB2312" w:hAnsi="Times New Roman"/>
                <w:sz w:val="24"/>
                <w:szCs w:val="24"/>
              </w:rPr>
              <w:t>“</w:t>
            </w:r>
            <w:r w:rsidR="00D87019" w:rsidRPr="00D87019">
              <w:rPr>
                <w:rFonts w:ascii="Times New Roman" w:eastAsia="FangSong_GB2312" w:hAnsi="Times New Roman"/>
                <w:b/>
                <w:bCs/>
                <w:sz w:val="24"/>
                <w:szCs w:val="24"/>
              </w:rPr>
              <w:t>西门子</w:t>
            </w:r>
            <w:r w:rsidR="00D87019" w:rsidRPr="00D87019">
              <w:rPr>
                <w:rFonts w:ascii="Times New Roman" w:eastAsia="FangSong_GB2312" w:hAnsi="Times New Roman"/>
                <w:sz w:val="24"/>
                <w:szCs w:val="24"/>
              </w:rPr>
              <w:t>”</w:t>
            </w:r>
            <w:r w:rsidR="00D87019" w:rsidRPr="00D87019">
              <w:rPr>
                <w:rFonts w:ascii="Times New Roman" w:eastAsia="FangSong_GB2312" w:hAnsi="Times New Roman"/>
                <w:sz w:val="24"/>
                <w:szCs w:val="24"/>
              </w:rPr>
              <w:t>）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和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GNA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公司共同控制。</w:t>
            </w:r>
          </w:p>
        </w:tc>
      </w:tr>
      <w:tr w:rsidR="00594568" w:rsidRPr="00D87019" w14:paraId="1F5D35F0" w14:textId="77777777" w:rsidTr="003C18E9">
        <w:trPr>
          <w:trHeight w:val="3809"/>
        </w:trPr>
        <w:tc>
          <w:tcPr>
            <w:tcW w:w="1668" w:type="dxa"/>
            <w:vMerge w:val="restart"/>
            <w:shd w:val="clear" w:color="auto" w:fill="D9D9D9"/>
          </w:tcPr>
          <w:p w14:paraId="2A51B120" w14:textId="77777777" w:rsidR="00594568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937" w:type="dxa"/>
          </w:tcPr>
          <w:p w14:paraId="1B04D95E" w14:textId="1E30E3A2" w:rsidR="00594568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1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、</w:t>
            </w:r>
            <w:r w:rsidR="003C18E9" w:rsidRPr="00D87019">
              <w:rPr>
                <w:rFonts w:ascii="Times New Roman" w:eastAsia="FangSong_GB2312" w:hAnsi="Times New Roman"/>
                <w:sz w:val="24"/>
                <w:szCs w:val="24"/>
              </w:rPr>
              <w:t>国家电投</w:t>
            </w:r>
          </w:p>
        </w:tc>
        <w:tc>
          <w:tcPr>
            <w:tcW w:w="5153" w:type="dxa"/>
          </w:tcPr>
          <w:p w14:paraId="24139C3A" w14:textId="7297E592" w:rsidR="00594568" w:rsidRPr="00D87019" w:rsidRDefault="003C18E9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国家电投是中国五大发电集团之一。是一个以电为核心、一体化发展的综合性能源集团公司。电力总装机容量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1.51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亿千瓦，其中：火电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8155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万千瓦，水电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2385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万千瓦，核电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698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万千瓦，太阳能发电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1929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万千瓦，风电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1933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万千瓦，在全部电力装机容量中清洁能源比重占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50.5%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，具有鲜明的清洁发展特色。拥有煤炭产能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8194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万吨，电解铝产能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248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万吨。</w:t>
            </w:r>
          </w:p>
        </w:tc>
      </w:tr>
      <w:tr w:rsidR="00594568" w:rsidRPr="00D87019" w14:paraId="0FFAF220" w14:textId="77777777" w:rsidTr="00594568">
        <w:trPr>
          <w:trHeight w:val="404"/>
        </w:trPr>
        <w:tc>
          <w:tcPr>
            <w:tcW w:w="1668" w:type="dxa"/>
            <w:vMerge/>
            <w:shd w:val="clear" w:color="auto" w:fill="D9D9D9"/>
          </w:tcPr>
          <w:p w14:paraId="55EAFBFF" w14:textId="77777777" w:rsidR="00594568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1937" w:type="dxa"/>
          </w:tcPr>
          <w:p w14:paraId="32D24E3D" w14:textId="54997D46" w:rsidR="00594568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2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、</w:t>
            </w:r>
            <w:r w:rsidR="003C18E9" w:rsidRPr="00D87019">
              <w:rPr>
                <w:rFonts w:ascii="Times New Roman" w:eastAsia="FangSong_GB2312" w:hAnsi="Times New Roman"/>
                <w:sz w:val="24"/>
                <w:szCs w:val="24"/>
              </w:rPr>
              <w:t>西门子</w:t>
            </w:r>
          </w:p>
        </w:tc>
        <w:tc>
          <w:tcPr>
            <w:tcW w:w="5153" w:type="dxa"/>
          </w:tcPr>
          <w:p w14:paraId="49104384" w14:textId="484EF685" w:rsidR="00594568" w:rsidRPr="00D87019" w:rsidRDefault="003C18E9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西门子股份公司是一家德国股份公司，在柏林与慕尼黑注册，总部位于慕尼黑。西门子股份公司是西门子集团成员公司的最终控制人。电气化、自动化与数字化是西门子的主要业务领域。</w:t>
            </w:r>
          </w:p>
        </w:tc>
      </w:tr>
      <w:tr w:rsidR="00594568" w:rsidRPr="00D87019" w14:paraId="5F4839A9" w14:textId="77777777" w:rsidTr="00594568">
        <w:trPr>
          <w:trHeight w:val="404"/>
        </w:trPr>
        <w:tc>
          <w:tcPr>
            <w:tcW w:w="1668" w:type="dxa"/>
            <w:vMerge/>
            <w:shd w:val="clear" w:color="auto" w:fill="D9D9D9"/>
          </w:tcPr>
          <w:p w14:paraId="292780EE" w14:textId="77777777" w:rsidR="00594568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1937" w:type="dxa"/>
          </w:tcPr>
          <w:p w14:paraId="6B89F2FD" w14:textId="688813D8" w:rsidR="00594568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3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、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GNA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14:paraId="263BCD85" w14:textId="69DCC1C9" w:rsidR="00594568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GNA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公司（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Gas Natural Açu S.A.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）及其关联实体在巴西建造和运营发电站及相关业务。</w:t>
            </w:r>
          </w:p>
        </w:tc>
      </w:tr>
      <w:tr w:rsidR="00594568" w:rsidRPr="00D87019" w14:paraId="277A28BF" w14:textId="77777777" w:rsidTr="00594568">
        <w:trPr>
          <w:trHeight w:val="279"/>
        </w:trPr>
        <w:tc>
          <w:tcPr>
            <w:tcW w:w="1668" w:type="dxa"/>
            <w:vMerge w:val="restart"/>
            <w:shd w:val="clear" w:color="auto" w:fill="D9D9D9"/>
          </w:tcPr>
          <w:p w14:paraId="3A9DEE48" w14:textId="77777777" w:rsidR="00094095" w:rsidRPr="00D87019" w:rsidRDefault="00094095" w:rsidP="00BB2377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简易案件理由（</w:t>
            </w:r>
            <w:r w:rsidR="005F167B" w:rsidRPr="00D87019">
              <w:rPr>
                <w:rFonts w:ascii="Times New Roman" w:eastAsia="FangSong_GB2312" w:hAnsi="Times New Roman"/>
                <w:sz w:val="24"/>
                <w:szCs w:val="24"/>
              </w:rPr>
              <w:t>可以单选，也可以多选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）</w:t>
            </w:r>
          </w:p>
        </w:tc>
        <w:tc>
          <w:tcPr>
            <w:tcW w:w="7090" w:type="dxa"/>
            <w:gridSpan w:val="2"/>
          </w:tcPr>
          <w:p w14:paraId="57CB25E8" w14:textId="253405C7" w:rsidR="00094095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□</w:t>
            </w:r>
            <w:r w:rsidR="000637EA" w:rsidRPr="00D87019">
              <w:rPr>
                <w:rFonts w:ascii="Times New Roman" w:eastAsia="FangSong_GB2312" w:hAnsi="Times New Roman"/>
                <w:bCs/>
                <w:sz w:val="24"/>
                <w:szCs w:val="24"/>
                <w:lang w:val="en-GB"/>
              </w:rPr>
              <w:t xml:space="preserve"> 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1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15%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。</w:t>
            </w:r>
          </w:p>
        </w:tc>
      </w:tr>
      <w:tr w:rsidR="00594568" w:rsidRPr="00D87019" w14:paraId="49DFE48D" w14:textId="77777777" w:rsidTr="00594568">
        <w:trPr>
          <w:trHeight w:val="330"/>
        </w:trPr>
        <w:tc>
          <w:tcPr>
            <w:tcW w:w="1668" w:type="dxa"/>
            <w:vMerge/>
            <w:shd w:val="clear" w:color="auto" w:fill="D9D9D9"/>
          </w:tcPr>
          <w:p w14:paraId="1479FDB5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2706C5D3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□2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25%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。</w:t>
            </w:r>
          </w:p>
        </w:tc>
      </w:tr>
      <w:tr w:rsidR="00594568" w:rsidRPr="00D87019" w14:paraId="2FDB6719" w14:textId="77777777" w:rsidTr="00594568">
        <w:trPr>
          <w:trHeight w:val="285"/>
        </w:trPr>
        <w:tc>
          <w:tcPr>
            <w:tcW w:w="1668" w:type="dxa"/>
            <w:vMerge/>
            <w:shd w:val="clear" w:color="auto" w:fill="D9D9D9"/>
          </w:tcPr>
          <w:p w14:paraId="2D4FD834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6B261AB4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□3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、不在同一相关市场、也不存在上下游关系的参与集中的经营者，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lastRenderedPageBreak/>
              <w:t>在与交易有关的每个市场所占的份额均小于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25%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。</w:t>
            </w:r>
          </w:p>
        </w:tc>
      </w:tr>
      <w:tr w:rsidR="00594568" w:rsidRPr="00D87019" w14:paraId="2830B34C" w14:textId="77777777" w:rsidTr="00594568">
        <w:trPr>
          <w:trHeight w:val="870"/>
        </w:trPr>
        <w:tc>
          <w:tcPr>
            <w:tcW w:w="1668" w:type="dxa"/>
            <w:vMerge/>
            <w:shd w:val="clear" w:color="auto" w:fill="D9D9D9"/>
          </w:tcPr>
          <w:p w14:paraId="0F0EFFBA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4D754DA6" w14:textId="6BC5CA61" w:rsidR="00094095" w:rsidRPr="00D87019" w:rsidRDefault="00D87019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□</w:t>
            </w:r>
            <w:r w:rsidR="00594568" w:rsidRPr="00D87019">
              <w:rPr>
                <w:rFonts w:ascii="Times New Roman" w:eastAsia="FangSong_GB2312" w:hAnsi="Times New Roman"/>
                <w:bCs/>
                <w:sz w:val="24"/>
                <w:szCs w:val="24"/>
                <w:lang w:val="en-GB"/>
              </w:rPr>
              <w:t xml:space="preserve"> 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4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94568" w:rsidRPr="00D87019" w14:paraId="152D43CE" w14:textId="77777777" w:rsidTr="00594568">
        <w:trPr>
          <w:trHeight w:val="264"/>
        </w:trPr>
        <w:tc>
          <w:tcPr>
            <w:tcW w:w="1668" w:type="dxa"/>
            <w:vMerge/>
            <w:shd w:val="clear" w:color="auto" w:fill="D9D9D9"/>
          </w:tcPr>
          <w:p w14:paraId="6F5B23DA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167B59B5" w14:textId="321E119A" w:rsidR="00094095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bCs/>
                <w:sz w:val="24"/>
                <w:szCs w:val="24"/>
                <w:lang w:val="en-GB"/>
              </w:rPr>
              <w:sym w:font="Wingdings" w:char="F0FE"/>
            </w:r>
            <w:r w:rsidRPr="00D87019">
              <w:rPr>
                <w:rFonts w:ascii="Times New Roman" w:eastAsia="FangSong_GB2312" w:hAnsi="Times New Roman"/>
                <w:bCs/>
                <w:sz w:val="24"/>
                <w:szCs w:val="24"/>
                <w:lang w:val="en-GB"/>
              </w:rPr>
              <w:t xml:space="preserve"> 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5</w:t>
            </w:r>
            <w:r w:rsidR="00094095" w:rsidRPr="00D87019">
              <w:rPr>
                <w:rFonts w:ascii="Times New Roman" w:eastAsia="FangSong_GB2312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94568" w:rsidRPr="00D87019" w14:paraId="31D1675F" w14:textId="77777777" w:rsidTr="00594568">
        <w:trPr>
          <w:trHeight w:val="345"/>
        </w:trPr>
        <w:tc>
          <w:tcPr>
            <w:tcW w:w="1668" w:type="dxa"/>
            <w:vMerge/>
            <w:shd w:val="clear" w:color="auto" w:fill="D9D9D9"/>
          </w:tcPr>
          <w:p w14:paraId="048F0184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</w:p>
        </w:tc>
        <w:tc>
          <w:tcPr>
            <w:tcW w:w="7090" w:type="dxa"/>
            <w:gridSpan w:val="2"/>
          </w:tcPr>
          <w:p w14:paraId="7D39E9F5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□6</w:t>
            </w: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94568" w:rsidRPr="00D87019" w14:paraId="00702F23" w14:textId="77777777" w:rsidTr="00594568">
        <w:tc>
          <w:tcPr>
            <w:tcW w:w="1668" w:type="dxa"/>
            <w:shd w:val="clear" w:color="auto" w:fill="D9D9D9"/>
          </w:tcPr>
          <w:p w14:paraId="49777BA8" w14:textId="77777777" w:rsidR="00094095" w:rsidRPr="00D87019" w:rsidRDefault="00094095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备注</w:t>
            </w:r>
          </w:p>
        </w:tc>
        <w:tc>
          <w:tcPr>
            <w:tcW w:w="7090" w:type="dxa"/>
            <w:gridSpan w:val="2"/>
          </w:tcPr>
          <w:p w14:paraId="7D1742F2" w14:textId="244131D9" w:rsidR="00094095" w:rsidRPr="00D87019" w:rsidRDefault="00594568" w:rsidP="002F2D60">
            <w:pPr>
              <w:spacing w:line="500" w:lineRule="exact"/>
              <w:rPr>
                <w:rFonts w:ascii="Times New Roman" w:eastAsia="FangSong_GB2312" w:hAnsi="Times New Roman"/>
                <w:sz w:val="24"/>
                <w:szCs w:val="24"/>
              </w:rPr>
            </w:pPr>
            <w:r w:rsidRPr="00D87019">
              <w:rPr>
                <w:rFonts w:ascii="Times New Roman" w:eastAsia="FangSong_GB2312" w:hAnsi="Times New Roman"/>
                <w:sz w:val="24"/>
                <w:szCs w:val="24"/>
              </w:rPr>
              <w:t>不适用</w:t>
            </w:r>
          </w:p>
        </w:tc>
      </w:tr>
    </w:tbl>
    <w:p w14:paraId="6ACCF082" w14:textId="77777777" w:rsidR="00F87C1F" w:rsidRPr="00D87019" w:rsidRDefault="00F87C1F" w:rsidP="00257677">
      <w:pPr>
        <w:spacing w:line="360" w:lineRule="auto"/>
        <w:rPr>
          <w:rFonts w:ascii="Times New Roman" w:hAnsi="Times New Roman"/>
          <w:sz w:val="24"/>
          <w:szCs w:val="24"/>
        </w:rPr>
      </w:pPr>
    </w:p>
    <w:sectPr w:rsidR="00F87C1F" w:rsidRPr="00D87019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2AFCC" w14:textId="77777777" w:rsidR="005C5D74" w:rsidRDefault="005C5D74" w:rsidP="00094095">
      <w:r>
        <w:separator/>
      </w:r>
    </w:p>
  </w:endnote>
  <w:endnote w:type="continuationSeparator" w:id="0">
    <w:p w14:paraId="635FF1CC" w14:textId="77777777" w:rsidR="005C5D74" w:rsidRDefault="005C5D74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0954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2911D6" w14:textId="77777777" w:rsidR="00257677" w:rsidRDefault="002576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9E2193" w14:textId="77777777" w:rsidR="00257677" w:rsidRDefault="00257677" w:rsidP="002576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664A49" w14:textId="77777777" w:rsidR="005C5D74" w:rsidRDefault="005C5D74" w:rsidP="00094095">
      <w:r>
        <w:separator/>
      </w:r>
    </w:p>
  </w:footnote>
  <w:footnote w:type="continuationSeparator" w:id="0">
    <w:p w14:paraId="3358B5C9" w14:textId="77777777" w:rsidR="005C5D74" w:rsidRDefault="005C5D74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6364E"/>
    <w:rsid w:val="000637EA"/>
    <w:rsid w:val="00094095"/>
    <w:rsid w:val="00245776"/>
    <w:rsid w:val="00257677"/>
    <w:rsid w:val="0027068B"/>
    <w:rsid w:val="0029549A"/>
    <w:rsid w:val="002A3524"/>
    <w:rsid w:val="002F2D60"/>
    <w:rsid w:val="00307976"/>
    <w:rsid w:val="00317510"/>
    <w:rsid w:val="003C18E9"/>
    <w:rsid w:val="003F1E8A"/>
    <w:rsid w:val="004311F2"/>
    <w:rsid w:val="00462174"/>
    <w:rsid w:val="005009FF"/>
    <w:rsid w:val="00594568"/>
    <w:rsid w:val="005C5D74"/>
    <w:rsid w:val="005D2469"/>
    <w:rsid w:val="005F167B"/>
    <w:rsid w:val="00650A53"/>
    <w:rsid w:val="007B2253"/>
    <w:rsid w:val="00AB6C08"/>
    <w:rsid w:val="00B955F5"/>
    <w:rsid w:val="00BA0750"/>
    <w:rsid w:val="00BB2377"/>
    <w:rsid w:val="00BB591D"/>
    <w:rsid w:val="00C76F62"/>
    <w:rsid w:val="00C9068E"/>
    <w:rsid w:val="00D21777"/>
    <w:rsid w:val="00D87019"/>
    <w:rsid w:val="00E1311D"/>
    <w:rsid w:val="00E677B7"/>
    <w:rsid w:val="00ED21B1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2ECF47A0"/>
  <w15:docId w15:val="{942757E6-04B1-408F-A240-57E436A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F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F62"/>
    <w:rPr>
      <w:rFonts w:ascii="Segoe UI" w:hAnsi="Segoe UI" w:cs="Segoe UI"/>
      <w:kern w:val="2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6B53F-7996-4329-AAB7-106B51AD3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391</Words>
  <Characters>424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Authorised User</cp:lastModifiedBy>
  <cp:revision>6</cp:revision>
  <cp:lastPrinted>2014-10-08T02:48:00Z</cp:lastPrinted>
  <dcterms:created xsi:type="dcterms:W3CDTF">2020-09-03T12:28:00Z</dcterms:created>
  <dcterms:modified xsi:type="dcterms:W3CDTF">2020-09-08T03:24:00Z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/>
  </property>
  <property fmtid="{D5CDD505-2E9C-101B-9397-08002B2CF9AE}" pid="3" name="Version">
    <vt:lpwstr/>
  </property>
  <property fmtid="{D5CDD505-2E9C-101B-9397-08002B2CF9AE}" pid="4" name="Last Modified">
    <vt:lpwstr/>
  </property>
  <property fmtid="{D5CDD505-2E9C-101B-9397-08002B2CF9AE}" pid="5" name="Matter Number">
    <vt:lpwstr/>
  </property>
  <property fmtid="{D5CDD505-2E9C-101B-9397-08002B2CF9AE}" pid="6" name="Client Code">
    <vt:lpwstr/>
  </property>
  <property fmtid="{D5CDD505-2E9C-101B-9397-08002B2CF9AE}" pid="7" name="Mode">
    <vt:lpwstr>Export</vt:lpwstr>
  </property>
  <property fmtid="{D5CDD505-2E9C-101B-9397-08002B2CF9AE}" pid="8" name="DEDocumentLocation">
    <vt:lpwstr>C:\Users\bxwang\Desktop\Copy of 国家电投和西门子收购GNA第一热电等股权案简易案件公示表.docx</vt:lpwstr>
  </property>
  <property fmtid="{D5CDD505-2E9C-101B-9397-08002B2CF9AE}" pid="9" name="ObjectID">
    <vt:lpwstr/>
  </property>
  <property fmtid="{D5CDD505-2E9C-101B-9397-08002B2CF9AE}" pid="10" name="DOC_GUID">
    <vt:lpwstr>74def0b3-cb48-480f-9f16-fb25134674a7</vt:lpwstr>
  </property>
</Properties>
</file>