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line="480" w:lineRule="auto"/>
        <w:rPr>
          <w:rFonts w:ascii="宋体" w:hAnsi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cs="宋体"/>
          <w:sz w:val="24"/>
          <w:szCs w:val="24"/>
        </w:rPr>
        <w:t>经营者集中简易案件公示表</w:t>
      </w:r>
    </w:p>
    <w:tbl>
      <w:tblPr>
        <w:tblStyle w:val="11"/>
        <w:tblW w:w="9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2281"/>
        <w:gridCol w:w="54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案件名称</w:t>
            </w:r>
          </w:p>
        </w:tc>
        <w:tc>
          <w:tcPr>
            <w:tcW w:w="7755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  <w:highlight w:val="yellow"/>
              </w:rPr>
            </w:pPr>
            <w:r>
              <w:rPr>
                <w:rFonts w:hint="eastAsia" w:ascii="Arial" w:hAnsi="Arial" w:cs="Arial"/>
                <w:kern w:val="0"/>
                <w:sz w:val="24"/>
                <w:szCs w:val="24"/>
              </w:rPr>
              <w:t>道达尔海上风电韩国简化股份有限公司收购</w:t>
            </w:r>
            <w:r>
              <w:rPr>
                <w:rFonts w:hint="eastAsia" w:ascii="Arial" w:hAnsi="Arial" w:cs="Arial"/>
                <w:bCs/>
                <w:kern w:val="0"/>
                <w:sz w:val="24"/>
                <w:szCs w:val="24"/>
              </w:rPr>
              <w:t>蔚山浮动海上风力发电有限公司</w:t>
            </w:r>
            <w:r>
              <w:rPr>
                <w:rFonts w:hint="eastAsia" w:ascii="Arial" w:hAnsi="Arial" w:cs="Arial"/>
                <w:kern w:val="0"/>
                <w:sz w:val="24"/>
                <w:szCs w:val="24"/>
                <w:lang w:val="fr-FR"/>
              </w:rPr>
              <w:t>等</w:t>
            </w:r>
            <w:r>
              <w:rPr>
                <w:rFonts w:hint="eastAsia" w:ascii="Arial" w:hAnsi="Arial" w:cs="Arial"/>
                <w:kern w:val="0"/>
                <w:sz w:val="24"/>
                <w:szCs w:val="24"/>
              </w:rPr>
              <w:t>五家公司股权案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13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交易概况（限</w:t>
            </w:r>
            <w:r>
              <w:rPr>
                <w:rFonts w:ascii="Times New Roman" w:hAnsi="Times New Roman"/>
                <w:sz w:val="24"/>
                <w:szCs w:val="24"/>
              </w:rPr>
              <w:t>200</w:t>
            </w:r>
            <w:r>
              <w:rPr>
                <w:rFonts w:ascii="宋体" w:hAnsi="宋体"/>
                <w:sz w:val="24"/>
                <w:szCs w:val="24"/>
              </w:rPr>
              <w:t>字内）</w:t>
            </w:r>
          </w:p>
        </w:tc>
        <w:tc>
          <w:tcPr>
            <w:tcW w:w="7755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道达尔海上风电（韩国）简化股份有限公司（下称</w:t>
            </w:r>
            <w:r>
              <w:rPr>
                <w:rFonts w:ascii="宋体" w:hAnsi="宋体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sz w:val="24"/>
                <w:szCs w:val="24"/>
              </w:rPr>
              <w:t>道达尔海上风电韩国</w:t>
            </w:r>
            <w:r>
              <w:rPr>
                <w:rFonts w:ascii="宋体" w:hAnsi="宋体"/>
                <w:sz w:val="24"/>
                <w:szCs w:val="24"/>
              </w:rPr>
              <w:t>”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）将分别收购绿色投资集团（韩国）有限公司（下称</w:t>
            </w:r>
            <w:r>
              <w:rPr>
                <w:rFonts w:ascii="宋体" w:hAnsi="宋体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sz w:val="24"/>
                <w:szCs w:val="24"/>
              </w:rPr>
              <w:t>绿投韩国</w:t>
            </w:r>
            <w:r>
              <w:rPr>
                <w:rFonts w:ascii="宋体" w:hAnsi="宋体"/>
                <w:sz w:val="24"/>
                <w:szCs w:val="24"/>
              </w:rPr>
              <w:t>”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）在蔚山浮动海上风力发电有限公司、灰鲸海上风电第一有限公司、灰鲸海上风电第二有限公司、</w:t>
            </w:r>
            <w:r>
              <w:rPr>
                <w:rFonts w:ascii="Times New Roman" w:hAnsi="Times New Roman"/>
                <w:sz w:val="24"/>
                <w:szCs w:val="24"/>
              </w:rPr>
              <w:t>Maenggoldo</w:t>
            </w:r>
            <w:r>
              <w:rPr>
                <w:rFonts w:hint="eastAsia" w:ascii="Times New Roman" w:hAnsi="Times New Roman"/>
                <w:sz w:val="24"/>
                <w:szCs w:val="24"/>
              </w:rPr>
              <w:t>海上风力发电有限公司和</w:t>
            </w:r>
            <w:r>
              <w:rPr>
                <w:rFonts w:ascii="Times New Roman" w:hAnsi="Times New Roman"/>
                <w:sz w:val="24"/>
                <w:szCs w:val="24"/>
              </w:rPr>
              <w:t>Komundo</w:t>
            </w:r>
            <w:r>
              <w:rPr>
                <w:rFonts w:hint="eastAsia" w:ascii="Times New Roman" w:hAnsi="Times New Roman"/>
                <w:sz w:val="24"/>
                <w:szCs w:val="24"/>
              </w:rPr>
              <w:t>海上风力发电有限公司中持有的部分股本。本次交易完成后，绿投韩国和道达尔海上风电韩国将共同持有前述五家公司，</w:t>
            </w:r>
            <w:r>
              <w:rPr>
                <w:rFonts w:ascii="Times New Roman" w:hAnsi="Times New Roman"/>
                <w:sz w:val="24"/>
                <w:szCs w:val="24"/>
              </w:rPr>
              <w:t>并</w:t>
            </w:r>
            <w:r>
              <w:rPr>
                <w:rFonts w:hint="eastAsia" w:ascii="Times New Roman" w:hAnsi="Times New Roman"/>
                <w:sz w:val="24"/>
                <w:szCs w:val="24"/>
                <w:lang w:val="fr-FR"/>
              </w:rPr>
              <w:t>通过该等公司</w:t>
            </w:r>
            <w:r>
              <w:rPr>
                <w:rFonts w:hint="eastAsia" w:ascii="Times New Roman" w:hAnsi="Times New Roman"/>
                <w:sz w:val="24"/>
                <w:szCs w:val="24"/>
              </w:rPr>
              <w:t>在韩国开展海上风电场项目。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3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参与集中的经营者简介</w:t>
            </w:r>
          </w:p>
        </w:tc>
        <w:tc>
          <w:tcPr>
            <w:tcW w:w="2281" w:type="dxa"/>
          </w:tcPr>
          <w:p>
            <w:pPr>
              <w:spacing w:line="500" w:lineRule="exact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sz w:val="24"/>
                <w:szCs w:val="24"/>
              </w:rPr>
              <w:t>、绿投韩国</w:t>
            </w:r>
          </w:p>
        </w:tc>
        <w:tc>
          <w:tcPr>
            <w:tcW w:w="5474" w:type="dxa"/>
          </w:tcPr>
          <w:p>
            <w:pPr>
              <w:spacing w:line="500" w:lineRule="exact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绿投韩国隶属于麦格理（</w:t>
            </w:r>
            <w:r>
              <w:rPr>
                <w:rFonts w:ascii="Times New Roman" w:hAnsi="Times New Roman"/>
                <w:caps/>
                <w:kern w:val="0"/>
                <w:sz w:val="24"/>
                <w:szCs w:val="24"/>
              </w:rPr>
              <w:t>MACQUARIE</w:t>
            </w:r>
            <w:r>
              <w:rPr>
                <w:rFonts w:hint="eastAsia" w:ascii="宋体" w:hAnsi="宋体"/>
                <w:sz w:val="24"/>
                <w:szCs w:val="24"/>
              </w:rPr>
              <w:t>）集团下属的</w:t>
            </w:r>
            <w:r>
              <w:rPr>
                <w:rFonts w:hint="eastAsia"/>
                <w:sz w:val="24"/>
                <w:szCs w:val="24"/>
              </w:rPr>
              <w:t>麦格理资本业务板块，主要投资于韩国的海上风电场</w:t>
            </w:r>
            <w:r>
              <w:rPr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风能开发和发电</w:t>
            </w:r>
            <w:r>
              <w:rPr>
                <w:rFonts w:hint="eastAsia" w:ascii="宋体" w:hAnsi="宋体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281" w:type="dxa"/>
          </w:tcPr>
          <w:p>
            <w:pPr>
              <w:spacing w:line="500" w:lineRule="exact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道达尔海上风电韩国</w:t>
            </w:r>
          </w:p>
        </w:tc>
        <w:tc>
          <w:tcPr>
            <w:tcW w:w="5474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道达尔海上风电韩国隶属于道达尔（</w:t>
            </w:r>
            <w:r>
              <w:rPr>
                <w:rFonts w:ascii="Times New Roman" w:hAnsi="Times New Roman"/>
                <w:sz w:val="24"/>
                <w:szCs w:val="24"/>
              </w:rPr>
              <w:t>TOTAL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）集团，业务</w:t>
            </w:r>
            <w:r>
              <w:rPr>
                <w:rFonts w:hint="eastAsia"/>
                <w:sz w:val="24"/>
                <w:szCs w:val="24"/>
              </w:rPr>
              <w:t>包括</w:t>
            </w:r>
            <w:r>
              <w:rPr>
                <w:rFonts w:hint="eastAsia" w:ascii="Arial" w:hAnsi="Arial" w:cs="Arial"/>
                <w:sz w:val="24"/>
                <w:szCs w:val="24"/>
              </w:rPr>
              <w:t>与能源领域有关的各类研究、工业、贸易、技术援助、维修、工业合作和开发活动，特别是与可再生能源、电力储存和发电有关的所有项目活动。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13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55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>
              <w:rPr>
                <w:rFonts w:ascii="宋体" w:hAnsi="宋体"/>
                <w:sz w:val="24"/>
                <w:szCs w:val="24"/>
              </w:rPr>
              <w:t>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55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>
              <w:rPr>
                <w:rFonts w:ascii="宋体" w:hAnsi="宋体"/>
                <w:sz w:val="24"/>
                <w:szCs w:val="24"/>
              </w:rPr>
              <w:t>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55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宋体" w:hAnsi="宋体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>
              <w:rPr>
                <w:rFonts w:ascii="宋体" w:hAnsi="宋体"/>
                <w:sz w:val="24"/>
                <w:szCs w:val="24"/>
              </w:rPr>
              <w:t>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55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宋体" w:hAnsi="宋体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55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sym w:font="Wingdings 2" w:char="F052"/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宋体" w:hAnsi="宋体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13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55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宋体" w:hAnsi="宋体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备注</w:t>
            </w:r>
          </w:p>
        </w:tc>
        <w:tc>
          <w:tcPr>
            <w:tcW w:w="7755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2">
      <wne:macro wne:macroName="NORMAL.NEWMACROS.DOINSERTBRACKETS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color w:val="FFFFFF"/>
      </w:rPr>
    </w:pPr>
    <w:r>
      <w:rPr>
        <w:color w:val="FFFFFF"/>
      </w:rPr>
      <w:fldChar w:fldCharType="begin"/>
    </w:r>
    <w:r>
      <w:instrText xml:space="preserve"> DOCPROPERTY ImanageFooterVariable \* MERGEFORMAT </w:instrText>
    </w:r>
    <w:r>
      <w:rPr>
        <w:color w:val="FFFFFF"/>
      </w:rPr>
      <w:fldChar w:fldCharType="separate"/>
    </w:r>
    <w:r>
      <w:rPr>
        <w:rFonts w:ascii="Arial" w:hAnsi="Arial" w:cs="Arial"/>
        <w:color w:val="FFFFFF"/>
        <w:sz w:val="10"/>
      </w:rPr>
      <w:t>WS0901.790216.5</w:t>
    </w:r>
    <w:r>
      <w:rPr>
        <w:color w:val="FFFFFF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579"/>
    <w:rsid w:val="0009790E"/>
    <w:rsid w:val="000A105E"/>
    <w:rsid w:val="000A4C88"/>
    <w:rsid w:val="000B061E"/>
    <w:rsid w:val="000D0C35"/>
    <w:rsid w:val="001D03C7"/>
    <w:rsid w:val="003E4674"/>
    <w:rsid w:val="003F19A4"/>
    <w:rsid w:val="00437F62"/>
    <w:rsid w:val="00475D4A"/>
    <w:rsid w:val="004E1625"/>
    <w:rsid w:val="00503B67"/>
    <w:rsid w:val="00524956"/>
    <w:rsid w:val="006141DB"/>
    <w:rsid w:val="00630FBE"/>
    <w:rsid w:val="00671BC2"/>
    <w:rsid w:val="00697465"/>
    <w:rsid w:val="006B788E"/>
    <w:rsid w:val="006D7579"/>
    <w:rsid w:val="006F7DC9"/>
    <w:rsid w:val="0072561C"/>
    <w:rsid w:val="008105FE"/>
    <w:rsid w:val="009A7BB1"/>
    <w:rsid w:val="009F3C1A"/>
    <w:rsid w:val="00AB1ED6"/>
    <w:rsid w:val="00B0047B"/>
    <w:rsid w:val="00C378D5"/>
    <w:rsid w:val="00C658FB"/>
    <w:rsid w:val="00C72D71"/>
    <w:rsid w:val="00D3183C"/>
    <w:rsid w:val="00D534AA"/>
    <w:rsid w:val="0226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4" w:semiHidden="0" w:name="Body Text"/>
    <w:lsdException w:uiPriority="99" w:name="Body Text Indent"/>
    <w:lsdException w:uiPriority="99" w:name="List Continue"/>
    <w:lsdException w:uiPriority="99" w:name="List Continue 2"/>
    <w:lsdException w:qFormat="1"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11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6"/>
    <w:qFormat/>
    <w:uiPriority w:val="4"/>
    <w:pPr>
      <w:widowControl/>
      <w:suppressAutoHyphens/>
      <w:spacing w:after="240"/>
      <w:jc w:val="center"/>
    </w:pPr>
    <w:rPr>
      <w:rFonts w:ascii="Times New Roman" w:hAnsi="Times New Roman"/>
      <w:kern w:val="0"/>
      <w:sz w:val="22"/>
      <w:szCs w:val="24"/>
      <w:lang w:val="fr-FR" w:eastAsia="fr-FR"/>
    </w:rPr>
  </w:style>
  <w:style w:type="paragraph" w:styleId="3">
    <w:name w:val="Balloon Text"/>
    <w:basedOn w:val="1"/>
    <w:link w:val="1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List"/>
    <w:basedOn w:val="1"/>
    <w:semiHidden/>
    <w:unhideWhenUsed/>
    <w:qFormat/>
    <w:uiPriority w:val="99"/>
    <w:pPr>
      <w:widowControl/>
      <w:spacing w:after="200" w:line="276" w:lineRule="auto"/>
      <w:ind w:left="360" w:hanging="360"/>
      <w:contextualSpacing/>
      <w:jc w:val="left"/>
    </w:pPr>
    <w:rPr>
      <w:rFonts w:asciiTheme="minorHAnsi" w:hAnsiTheme="minorHAnsi" w:eastAsiaTheme="minorEastAsia" w:cstheme="minorBidi"/>
      <w:kern w:val="0"/>
      <w:sz w:val="22"/>
    </w:rPr>
  </w:style>
  <w:style w:type="paragraph" w:styleId="7">
    <w:name w:val="List Continue 3"/>
    <w:basedOn w:val="1"/>
    <w:semiHidden/>
    <w:unhideWhenUsed/>
    <w:qFormat/>
    <w:uiPriority w:val="99"/>
    <w:pPr>
      <w:widowControl/>
      <w:spacing w:after="120" w:line="276" w:lineRule="auto"/>
      <w:ind w:left="1080"/>
      <w:contextualSpacing/>
      <w:jc w:val="left"/>
    </w:pPr>
    <w:rPr>
      <w:rFonts w:asciiTheme="minorHAnsi" w:hAnsiTheme="minorHAnsi" w:eastAsiaTheme="minorEastAsia" w:cstheme="minorBidi"/>
      <w:kern w:val="0"/>
      <w:sz w:val="22"/>
    </w:rPr>
  </w:style>
  <w:style w:type="paragraph" w:styleId="8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paragraph" w:styleId="12">
    <w:name w:val="Quote"/>
    <w:basedOn w:val="1"/>
    <w:next w:val="1"/>
    <w:link w:val="13"/>
    <w:qFormat/>
    <w:uiPriority w:val="29"/>
    <w:pPr>
      <w:widowControl/>
      <w:spacing w:after="200" w:line="276" w:lineRule="auto"/>
      <w:jc w:val="left"/>
    </w:pPr>
    <w:rPr>
      <w:rFonts w:asciiTheme="minorHAnsi" w:hAnsiTheme="minorHAnsi" w:eastAsiaTheme="minorEastAsia" w:cstheme="minorBidi"/>
      <w:i/>
      <w:iCs/>
      <w:color w:val="000000" w:themeColor="text1"/>
      <w:kern w:val="0"/>
      <w:sz w:val="22"/>
      <w14:textFill>
        <w14:solidFill>
          <w14:schemeClr w14:val="tx1"/>
        </w14:solidFill>
      </w14:textFill>
    </w:rPr>
  </w:style>
  <w:style w:type="character" w:customStyle="1" w:styleId="13">
    <w:name w:val="Quote Char"/>
    <w:basedOn w:val="9"/>
    <w:link w:val="1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">
    <w:name w:val="Title Char"/>
    <w:basedOn w:val="9"/>
    <w:link w:val="8"/>
    <w:uiPriority w:val="10"/>
    <w:rPr>
      <w:rFonts w:ascii="Cambria" w:hAnsi="Cambria" w:eastAsia="宋体" w:cs="Times New Roman"/>
      <w:b/>
      <w:bCs/>
      <w:kern w:val="28"/>
      <w:sz w:val="32"/>
      <w:szCs w:val="32"/>
    </w:rPr>
  </w:style>
  <w:style w:type="paragraph" w:customStyle="1" w:styleId="15">
    <w:name w:val="Block Text Blue"/>
    <w:basedOn w:val="1"/>
    <w:qFormat/>
    <w:uiPriority w:val="0"/>
    <w:pPr>
      <w:widowControl/>
      <w:spacing w:after="240"/>
    </w:pPr>
    <w:rPr>
      <w:rFonts w:ascii="Times New Roman" w:hAnsi="Times New Roman"/>
      <w:color w:val="0000FF"/>
      <w:kern w:val="0"/>
      <w:sz w:val="24"/>
      <w:szCs w:val="24"/>
    </w:rPr>
  </w:style>
  <w:style w:type="character" w:customStyle="1" w:styleId="16">
    <w:name w:val="Body Text Char"/>
    <w:basedOn w:val="9"/>
    <w:link w:val="2"/>
    <w:qFormat/>
    <w:uiPriority w:val="4"/>
    <w:rPr>
      <w:rFonts w:ascii="Times New Roman" w:hAnsi="Times New Roman" w:eastAsia="宋体" w:cs="Times New Roman"/>
      <w:szCs w:val="24"/>
      <w:lang w:val="fr-FR" w:eastAsia="fr-FR"/>
    </w:rPr>
  </w:style>
  <w:style w:type="character" w:customStyle="1" w:styleId="17">
    <w:name w:val="Header Char"/>
    <w:basedOn w:val="9"/>
    <w:link w:val="5"/>
    <w:uiPriority w:val="99"/>
    <w:rPr>
      <w:rFonts w:ascii="Calibri" w:hAnsi="Calibri" w:eastAsia="宋体" w:cs="Times New Roman"/>
      <w:kern w:val="2"/>
      <w:sz w:val="21"/>
    </w:rPr>
  </w:style>
  <w:style w:type="character" w:customStyle="1" w:styleId="18">
    <w:name w:val="Footer Char"/>
    <w:basedOn w:val="9"/>
    <w:link w:val="4"/>
    <w:qFormat/>
    <w:uiPriority w:val="99"/>
    <w:rPr>
      <w:rFonts w:ascii="Calibri" w:hAnsi="Calibri" w:eastAsia="宋体" w:cs="Times New Roman"/>
      <w:kern w:val="2"/>
      <w:sz w:val="21"/>
    </w:rPr>
  </w:style>
  <w:style w:type="character" w:customStyle="1" w:styleId="19">
    <w:name w:val="Balloon Text Char"/>
    <w:basedOn w:val="9"/>
    <w:link w:val="3"/>
    <w:semiHidden/>
    <w:qFormat/>
    <w:uiPriority w:val="99"/>
    <w:rPr>
      <w:rFonts w:ascii="Tahoma" w:hAnsi="Tahoma" w:eastAsia="宋体" w:cs="Tahoma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GIDE</Company>
  <Pages>2</Pages>
  <Words>114</Words>
  <Characters>650</Characters>
  <Lines>5</Lines>
  <Paragraphs>1</Paragraphs>
  <TotalTime>3</TotalTime>
  <ScaleCrop>false</ScaleCrop>
  <LinksUpToDate>false</LinksUpToDate>
  <CharactersWithSpaces>763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2020-08-28T15:12:00Z</dcterms:created>
  <dc:creator>Gide</dc:creator>
  <cp:lastModifiedBy>陈媚</cp:lastModifiedBy>
  <dcterms:modified xsi:type="dcterms:W3CDTF">2020-09-24T06:54:54Z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erParam">
    <vt:lpwstr>SHOW</vt:lpwstr>
  </property>
  <property fmtid="{D5CDD505-2E9C-101B-9397-08002B2CF9AE}" pid="3" name="ImanageFooterVariable">
    <vt:lpwstr>WS0901.790216.5</vt:lpwstr>
  </property>
  <property fmtid="{D5CDD505-2E9C-101B-9397-08002B2CF9AE}" pid="4" name="WS_TRACKING_ID">
    <vt:lpwstr>6b5208bd-8f50-41f9-8c45-a1ac9dfc4432</vt:lpwstr>
  </property>
  <property fmtid="{D5CDD505-2E9C-101B-9397-08002B2CF9AE}" pid="5" name="KSOProductBuildVer">
    <vt:lpwstr>2052-10.8.2.7129</vt:lpwstr>
  </property>
</Properties>
</file>