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spacing w:line="440" w:lineRule="exact"/>
        <w:jc w:val="center"/>
        <w:rPr>
          <w:b/>
          <w:sz w:val="22"/>
          <w:szCs w:val="22"/>
        </w:rPr>
      </w:pPr>
      <w:bookmarkStart w:id="0" w:name="_GoBack"/>
      <w:r>
        <w:rPr>
          <w:b/>
          <w:sz w:val="22"/>
          <w:szCs w:val="22"/>
        </w:rPr>
        <w:t>经营者集中简易案件公示表</w:t>
      </w:r>
    </w:p>
    <w:bookmarkEnd w:id="0"/>
    <w:tbl>
      <w:tblPr>
        <w:tblStyle w:val="11"/>
        <w:tblW w:w="9634" w:type="dxa"/>
        <w:jc w:val="center"/>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940"/>
        <w:gridCol w:w="2591"/>
        <w:gridCol w:w="5103"/>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jc w:val="center"/>
        </w:trPr>
        <w:tc>
          <w:tcPr>
            <w:tcW w:w="1940" w:type="dxa"/>
            <w:shd w:val="clear" w:color="auto" w:fill="D9D9D9"/>
            <w:vAlign w:val="center"/>
          </w:tcPr>
          <w:p>
            <w:pPr>
              <w:pStyle w:val="3"/>
              <w:jc w:val="left"/>
              <w:rPr>
                <w:rFonts w:cs="Times New Roman"/>
                <w:sz w:val="22"/>
                <w:szCs w:val="22"/>
                <w:lang w:val="en-US"/>
              </w:rPr>
            </w:pPr>
            <w:r>
              <w:rPr>
                <w:rFonts w:cs="Times New Roman"/>
                <w:sz w:val="22"/>
                <w:szCs w:val="22"/>
                <w:lang w:val="en-GB"/>
              </w:rPr>
              <w:t>案件名称</w:t>
            </w:r>
          </w:p>
        </w:tc>
        <w:tc>
          <w:tcPr>
            <w:tcW w:w="7694" w:type="dxa"/>
            <w:gridSpan w:val="2"/>
            <w:shd w:val="clear" w:color="auto" w:fill="auto"/>
          </w:tcPr>
          <w:p>
            <w:pPr>
              <w:autoSpaceDE w:val="0"/>
              <w:autoSpaceDN w:val="0"/>
              <w:adjustRightInd w:val="0"/>
              <w:rPr>
                <w:rFonts w:asciiTheme="majorBidi" w:hAnsiTheme="majorBidi" w:cstheme="majorBidi"/>
                <w:sz w:val="22"/>
                <w:szCs w:val="22"/>
              </w:rPr>
            </w:pPr>
            <w:r>
              <w:rPr>
                <w:bCs/>
                <w:sz w:val="22"/>
                <w:szCs w:val="22"/>
              </w:rPr>
              <w:t>Platinum Compass</w:t>
            </w:r>
            <w:r>
              <w:rPr>
                <w:rFonts w:hint="eastAsia"/>
                <w:bCs/>
                <w:sz w:val="22"/>
                <w:szCs w:val="22"/>
              </w:rPr>
              <w:t>有限公司与安大略省教师退休基金会委员会收购艾贵发展私人有限公司股权案</w:t>
            </w:r>
            <w:r>
              <w:rPr>
                <w:rFonts w:hint="eastAsia" w:eastAsiaTheme="majorEastAsia"/>
                <w:bCs/>
                <w:sz w:val="22"/>
                <w:szCs w:val="22"/>
              </w:rPr>
              <w:t>（“</w:t>
            </w:r>
            <w:r>
              <w:rPr>
                <w:rFonts w:hint="eastAsia" w:eastAsiaTheme="majorEastAsia"/>
                <w:b/>
                <w:bCs/>
                <w:sz w:val="22"/>
                <w:szCs w:val="22"/>
              </w:rPr>
              <w:t>本交易</w:t>
            </w:r>
            <w:r>
              <w:rPr>
                <w:rFonts w:hint="eastAsia" w:eastAsiaTheme="majorEastAsia"/>
                <w:bCs/>
                <w:sz w:val="22"/>
                <w:szCs w:val="22"/>
              </w:rPr>
              <w: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trHeight w:val="993" w:hRule="atLeast"/>
          <w:jc w:val="center"/>
        </w:trPr>
        <w:tc>
          <w:tcPr>
            <w:tcW w:w="1940" w:type="dxa"/>
            <w:shd w:val="clear" w:color="auto" w:fill="D9D9D9"/>
          </w:tcPr>
          <w:p>
            <w:pPr>
              <w:pStyle w:val="3"/>
              <w:rPr>
                <w:rFonts w:cs="Times New Roman"/>
                <w:sz w:val="22"/>
                <w:szCs w:val="22"/>
                <w:lang w:val="en-US" w:eastAsia="zh-CN"/>
              </w:rPr>
            </w:pPr>
            <w:r>
              <w:rPr>
                <w:rFonts w:cs="Times New Roman"/>
                <w:sz w:val="22"/>
                <w:szCs w:val="22"/>
                <w:lang w:val="en-GB" w:eastAsia="zh-CN"/>
              </w:rPr>
              <w:t>交易概况（限200字内）</w:t>
            </w:r>
          </w:p>
        </w:tc>
        <w:tc>
          <w:tcPr>
            <w:tcW w:w="7694" w:type="dxa"/>
            <w:gridSpan w:val="2"/>
            <w:shd w:val="clear" w:color="auto" w:fill="auto"/>
          </w:tcPr>
          <w:p>
            <w:pPr>
              <w:autoSpaceDE w:val="0"/>
              <w:autoSpaceDN w:val="0"/>
              <w:adjustRightInd w:val="0"/>
              <w:rPr>
                <w:sz w:val="22"/>
                <w:szCs w:val="22"/>
              </w:rPr>
            </w:pPr>
            <w:r>
              <w:rPr>
                <w:rFonts w:hint="eastAsia"/>
                <w:sz w:val="22"/>
                <w:szCs w:val="22"/>
              </w:rPr>
              <w:t>通过本交易</w:t>
            </w:r>
            <w:r>
              <w:rPr>
                <w:sz w:val="22"/>
                <w:szCs w:val="22"/>
              </w:rPr>
              <w:t>，Platinum Compass</w:t>
            </w:r>
            <w:r>
              <w:rPr>
                <w:rFonts w:hint="eastAsia"/>
                <w:sz w:val="22"/>
                <w:szCs w:val="22"/>
              </w:rPr>
              <w:t>有限公司（</w:t>
            </w:r>
            <w:r>
              <w:rPr>
                <w:sz w:val="22"/>
                <w:szCs w:val="22"/>
              </w:rPr>
              <w:t>Platinum Compass B 2018 RSC Limited</w:t>
            </w:r>
            <w:r>
              <w:rPr>
                <w:rFonts w:hint="eastAsia"/>
                <w:sz w:val="22"/>
                <w:szCs w:val="22"/>
              </w:rPr>
              <w:t>，“</w:t>
            </w:r>
            <w:r>
              <w:rPr>
                <w:rFonts w:hint="eastAsia"/>
                <w:b/>
                <w:bCs/>
                <w:sz w:val="22"/>
                <w:szCs w:val="22"/>
              </w:rPr>
              <w:t>Platinum Compass</w:t>
            </w:r>
            <w:r>
              <w:rPr>
                <w:rFonts w:hint="eastAsia"/>
                <w:sz w:val="22"/>
                <w:szCs w:val="22"/>
              </w:rPr>
              <w:t>”）和安大略省教师退休基金会委员会（</w:t>
            </w:r>
            <w:r>
              <w:rPr>
                <w:sz w:val="22"/>
                <w:szCs w:val="22"/>
              </w:rPr>
              <w:t>Ontario Teachers' Pension Plan Board</w:t>
            </w:r>
            <w:r>
              <w:rPr>
                <w:rFonts w:hint="eastAsia"/>
                <w:sz w:val="22"/>
                <w:szCs w:val="22"/>
              </w:rPr>
              <w:t>，“</w:t>
            </w:r>
            <w:r>
              <w:rPr>
                <w:rFonts w:hint="eastAsia"/>
                <w:b/>
                <w:bCs/>
                <w:sz w:val="22"/>
                <w:szCs w:val="22"/>
              </w:rPr>
              <w:t>OTPP</w:t>
            </w:r>
            <w:r>
              <w:rPr>
                <w:rFonts w:hint="eastAsia"/>
                <w:sz w:val="22"/>
                <w:szCs w:val="22"/>
              </w:rPr>
              <w:t>”）（间接通过其关联方）</w:t>
            </w:r>
            <w:r>
              <w:rPr>
                <w:sz w:val="22"/>
                <w:szCs w:val="22"/>
              </w:rPr>
              <w:t>将通过</w:t>
            </w:r>
            <w:r>
              <w:rPr>
                <w:rFonts w:hint="eastAsia"/>
                <w:sz w:val="22"/>
                <w:szCs w:val="22"/>
              </w:rPr>
              <w:t>对艾贵</w:t>
            </w:r>
            <w:r>
              <w:rPr>
                <w:rFonts w:hint="eastAsia"/>
                <w:bCs/>
                <w:sz w:val="22"/>
                <w:szCs w:val="22"/>
              </w:rPr>
              <w:t>发展</w:t>
            </w:r>
            <w:r>
              <w:rPr>
                <w:rFonts w:hint="eastAsia"/>
                <w:sz w:val="22"/>
                <w:szCs w:val="22"/>
              </w:rPr>
              <w:t>私人有限公司（</w:t>
            </w:r>
            <w:r>
              <w:rPr>
                <w:sz w:val="22"/>
                <w:szCs w:val="22"/>
              </w:rPr>
              <w:t>Equis Development Pte. Ltd</w:t>
            </w:r>
            <w:r>
              <w:rPr>
                <w:rFonts w:hint="eastAsia"/>
                <w:sz w:val="22"/>
                <w:szCs w:val="22"/>
              </w:rPr>
              <w:t>，“</w:t>
            </w:r>
            <w:r>
              <w:rPr>
                <w:rFonts w:hint="eastAsia"/>
                <w:b/>
                <w:bCs/>
                <w:sz w:val="22"/>
                <w:szCs w:val="22"/>
              </w:rPr>
              <w:t>目标公司</w:t>
            </w:r>
            <w:r>
              <w:rPr>
                <w:rFonts w:hint="eastAsia"/>
                <w:sz w:val="22"/>
                <w:szCs w:val="22"/>
              </w:rPr>
              <w:t>”）</w:t>
            </w:r>
            <w:r>
              <w:rPr>
                <w:sz w:val="22"/>
                <w:szCs w:val="22"/>
              </w:rPr>
              <w:t>进行投资</w:t>
            </w:r>
            <w:r>
              <w:rPr>
                <w:rFonts w:hint="eastAsia"/>
                <w:sz w:val="22"/>
                <w:szCs w:val="22"/>
              </w:rPr>
              <w:t>以</w:t>
            </w:r>
            <w:r>
              <w:rPr>
                <w:sz w:val="22"/>
                <w:szCs w:val="22"/>
              </w:rPr>
              <w:t>获得目标公司的股权。</w:t>
            </w:r>
            <w:r>
              <w:rPr>
                <w:rFonts w:hint="eastAsia"/>
                <w:sz w:val="22"/>
                <w:szCs w:val="22"/>
              </w:rPr>
              <w:t>目标公司目前由艾贵发展控股有限公司（</w:t>
            </w:r>
            <w:r>
              <w:rPr>
                <w:sz w:val="22"/>
                <w:szCs w:val="22"/>
              </w:rPr>
              <w:t>Equis Development Holdings LLC</w:t>
            </w:r>
            <w:r>
              <w:rPr>
                <w:rFonts w:hint="eastAsia"/>
                <w:sz w:val="22"/>
                <w:szCs w:val="22"/>
              </w:rPr>
              <w:t>，“</w:t>
            </w:r>
            <w:r>
              <w:rPr>
                <w:rFonts w:hint="eastAsia"/>
                <w:b/>
                <w:bCs/>
                <w:sz w:val="22"/>
                <w:szCs w:val="22"/>
              </w:rPr>
              <w:t>艾贵控股</w:t>
            </w:r>
            <w:r>
              <w:rPr>
                <w:rFonts w:hint="eastAsia"/>
                <w:sz w:val="22"/>
                <w:szCs w:val="22"/>
              </w:rPr>
              <w:t>”）单独控制。本交易后，目标公司将由</w:t>
            </w:r>
            <w:r>
              <w:rPr>
                <w:sz w:val="22"/>
                <w:szCs w:val="22"/>
              </w:rPr>
              <w:t>Platinum Compass</w:t>
            </w:r>
            <w:r>
              <w:rPr>
                <w:rFonts w:hint="eastAsia"/>
                <w:sz w:val="22"/>
                <w:szCs w:val="22"/>
              </w:rPr>
              <w:t>、</w:t>
            </w:r>
            <w:r>
              <w:rPr>
                <w:sz w:val="22"/>
                <w:szCs w:val="22"/>
              </w:rPr>
              <w:t>OTPP</w:t>
            </w:r>
            <w:r>
              <w:rPr>
                <w:rFonts w:hint="eastAsia"/>
                <w:sz w:val="22"/>
                <w:szCs w:val="22"/>
              </w:rPr>
              <w:t>和艾贵控股共同控制。</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trHeight w:val="1268" w:hRule="atLeast"/>
          <w:jc w:val="center"/>
        </w:trPr>
        <w:tc>
          <w:tcPr>
            <w:tcW w:w="1940" w:type="dxa"/>
            <w:vMerge w:val="restart"/>
            <w:shd w:val="clear" w:color="auto" w:fill="D9D9D9"/>
          </w:tcPr>
          <w:p>
            <w:pPr>
              <w:pStyle w:val="3"/>
              <w:rPr>
                <w:rFonts w:cs="Times New Roman"/>
                <w:sz w:val="22"/>
                <w:szCs w:val="22"/>
                <w:lang w:val="en-US" w:eastAsia="zh-CN"/>
              </w:rPr>
            </w:pPr>
            <w:r>
              <w:rPr>
                <w:rFonts w:cs="Times New Roman"/>
                <w:sz w:val="22"/>
                <w:szCs w:val="22"/>
                <w:lang w:val="en-GB" w:eastAsia="zh-CN"/>
              </w:rPr>
              <w:t>参与集中的经营者简介</w:t>
            </w:r>
          </w:p>
        </w:tc>
        <w:tc>
          <w:tcPr>
            <w:tcW w:w="2591" w:type="dxa"/>
            <w:shd w:val="clear" w:color="auto" w:fill="auto"/>
          </w:tcPr>
          <w:p>
            <w:pPr>
              <w:autoSpaceDE w:val="0"/>
              <w:autoSpaceDN w:val="0"/>
              <w:adjustRightInd w:val="0"/>
              <w:rPr>
                <w:rFonts w:asciiTheme="majorBidi" w:hAnsiTheme="majorBidi" w:cstheme="majorBidi"/>
                <w:sz w:val="22"/>
                <w:szCs w:val="22"/>
              </w:rPr>
            </w:pPr>
            <w:r>
              <w:rPr>
                <w:rFonts w:hint="eastAsia" w:asciiTheme="majorBidi" w:hAnsiTheme="majorBidi" w:cstheme="majorBidi"/>
                <w:sz w:val="22"/>
                <w:szCs w:val="22"/>
              </w:rPr>
              <w:t>1、</w:t>
            </w:r>
            <w:r>
              <w:rPr>
                <w:sz w:val="22"/>
                <w:szCs w:val="22"/>
              </w:rPr>
              <w:t>Platinum Compass</w:t>
            </w:r>
          </w:p>
        </w:tc>
        <w:tc>
          <w:tcPr>
            <w:tcW w:w="5103" w:type="dxa"/>
            <w:shd w:val="clear" w:color="auto" w:fill="auto"/>
          </w:tcPr>
          <w:p>
            <w:pPr>
              <w:autoSpaceDE w:val="0"/>
              <w:autoSpaceDN w:val="0"/>
              <w:adjustRightInd w:val="0"/>
              <w:rPr>
                <w:rFonts w:asciiTheme="majorBidi" w:hAnsiTheme="majorBidi" w:cstheme="majorBidi"/>
                <w:bCs/>
                <w:sz w:val="22"/>
                <w:szCs w:val="22"/>
              </w:rPr>
            </w:pPr>
            <w:r>
              <w:rPr>
                <w:sz w:val="22"/>
                <w:szCs w:val="22"/>
              </w:rPr>
              <w:t>Platinum Compass</w:t>
            </w:r>
            <w:r>
              <w:rPr>
                <w:rFonts w:hint="eastAsia"/>
                <w:sz w:val="22"/>
                <w:szCs w:val="22"/>
              </w:rPr>
              <w:t>是一家进行基础设施投资的阿布扎比全球市场（</w:t>
            </w:r>
            <w:r>
              <w:rPr>
                <w:sz w:val="22"/>
                <w:szCs w:val="22"/>
              </w:rPr>
              <w:t>ADGM</w:t>
            </w:r>
            <w:r>
              <w:rPr>
                <w:rFonts w:hint="eastAsia"/>
                <w:sz w:val="22"/>
                <w:szCs w:val="22"/>
              </w:rPr>
              <w:t>）公司。</w:t>
            </w:r>
            <w:r>
              <w:rPr>
                <w:sz w:val="22"/>
                <w:szCs w:val="22"/>
              </w:rPr>
              <w:t>Platinum Compass</w:t>
            </w:r>
            <w:r>
              <w:rPr>
                <w:rFonts w:hint="eastAsia"/>
                <w:sz w:val="22"/>
                <w:szCs w:val="22"/>
              </w:rPr>
              <w:t>由阿布扎比投资局（</w:t>
            </w:r>
            <w:r>
              <w:rPr>
                <w:sz w:val="22"/>
                <w:szCs w:val="22"/>
              </w:rPr>
              <w:t>Abu Dhabi Investment Authority</w:t>
            </w:r>
            <w:r>
              <w:rPr>
                <w:rFonts w:hint="eastAsia"/>
                <w:sz w:val="22"/>
                <w:szCs w:val="22"/>
              </w:rPr>
              <w:t>）最终持有。</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trHeight w:val="1441" w:hRule="atLeast"/>
          <w:jc w:val="center"/>
        </w:trPr>
        <w:tc>
          <w:tcPr>
            <w:tcW w:w="1940" w:type="dxa"/>
            <w:vMerge w:val="continue"/>
            <w:shd w:val="clear" w:color="auto" w:fill="D9D9D9"/>
          </w:tcPr>
          <w:p>
            <w:pPr>
              <w:pStyle w:val="3"/>
              <w:rPr>
                <w:rFonts w:cs="Times New Roman"/>
                <w:sz w:val="22"/>
                <w:szCs w:val="22"/>
                <w:lang w:val="en-US" w:eastAsia="zh-CN"/>
              </w:rPr>
            </w:pPr>
          </w:p>
        </w:tc>
        <w:tc>
          <w:tcPr>
            <w:tcW w:w="2591" w:type="dxa"/>
            <w:shd w:val="clear" w:color="auto" w:fill="auto"/>
          </w:tcPr>
          <w:p>
            <w:pPr>
              <w:autoSpaceDE w:val="0"/>
              <w:autoSpaceDN w:val="0"/>
              <w:adjustRightInd w:val="0"/>
              <w:rPr>
                <w:rFonts w:asciiTheme="majorBidi" w:hAnsiTheme="majorBidi" w:cstheme="majorBidi"/>
                <w:sz w:val="22"/>
                <w:szCs w:val="22"/>
              </w:rPr>
            </w:pPr>
            <w:r>
              <w:rPr>
                <w:rFonts w:asciiTheme="majorBidi" w:hAnsiTheme="majorBidi" w:cstheme="majorBidi"/>
                <w:sz w:val="22"/>
                <w:szCs w:val="22"/>
              </w:rPr>
              <w:t>2</w:t>
            </w:r>
            <w:r>
              <w:rPr>
                <w:rFonts w:hint="eastAsia" w:asciiTheme="majorBidi" w:hAnsiTheme="majorBidi" w:cstheme="majorBidi"/>
                <w:sz w:val="22"/>
                <w:szCs w:val="22"/>
              </w:rPr>
              <w:t>、O</w:t>
            </w:r>
            <w:r>
              <w:rPr>
                <w:rFonts w:asciiTheme="majorBidi" w:hAnsiTheme="majorBidi" w:cstheme="majorBidi"/>
                <w:sz w:val="22"/>
                <w:szCs w:val="22"/>
              </w:rPr>
              <w:t>TPP</w:t>
            </w:r>
          </w:p>
        </w:tc>
        <w:tc>
          <w:tcPr>
            <w:tcW w:w="5103" w:type="dxa"/>
            <w:shd w:val="clear" w:color="auto" w:fill="auto"/>
          </w:tcPr>
          <w:p>
            <w:pPr>
              <w:autoSpaceDE w:val="0"/>
              <w:autoSpaceDN w:val="0"/>
              <w:adjustRightInd w:val="0"/>
              <w:rPr>
                <w:sz w:val="22"/>
                <w:szCs w:val="22"/>
              </w:rPr>
            </w:pPr>
            <w:r>
              <w:rPr>
                <w:sz w:val="22"/>
                <w:szCs w:val="22"/>
              </w:rPr>
              <w:t>OTPP</w:t>
            </w:r>
            <w:r>
              <w:rPr>
                <w:rFonts w:hint="eastAsia"/>
                <w:sz w:val="22"/>
                <w:szCs w:val="22"/>
              </w:rPr>
              <w:t>是加拿大最大的单一型专业退休金计划机构。</w:t>
            </w:r>
            <w:r>
              <w:rPr>
                <w:sz w:val="22"/>
                <w:szCs w:val="22"/>
              </w:rPr>
              <w:t>OTPP</w:t>
            </w:r>
            <w:r>
              <w:rPr>
                <w:rFonts w:hint="eastAsia"/>
                <w:sz w:val="22"/>
                <w:szCs w:val="22"/>
              </w:rPr>
              <w:t>负责代表</w:t>
            </w:r>
            <w:r>
              <w:rPr>
                <w:sz w:val="22"/>
                <w:szCs w:val="22"/>
              </w:rPr>
              <w:t>185,000</w:t>
            </w:r>
            <w:r>
              <w:rPr>
                <w:rFonts w:hint="eastAsia"/>
                <w:sz w:val="22"/>
                <w:szCs w:val="22"/>
              </w:rPr>
              <w:t>名安大略学校教师和</w:t>
            </w:r>
            <w:r>
              <w:rPr>
                <w:sz w:val="22"/>
                <w:szCs w:val="22"/>
              </w:rPr>
              <w:t>142,000</w:t>
            </w:r>
            <w:r>
              <w:rPr>
                <w:rFonts w:hint="eastAsia"/>
                <w:sz w:val="22"/>
                <w:szCs w:val="22"/>
              </w:rPr>
              <w:t>名退休人员管理退休金收益以及对退休金计划资产进行投资。</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trHeight w:val="1467" w:hRule="atLeast"/>
          <w:jc w:val="center"/>
        </w:trPr>
        <w:tc>
          <w:tcPr>
            <w:tcW w:w="1940" w:type="dxa"/>
            <w:vMerge w:val="continue"/>
            <w:shd w:val="clear" w:color="auto" w:fill="D9D9D9"/>
          </w:tcPr>
          <w:p>
            <w:pPr>
              <w:pStyle w:val="3"/>
              <w:rPr>
                <w:rFonts w:cs="Times New Roman"/>
                <w:sz w:val="22"/>
                <w:szCs w:val="22"/>
                <w:lang w:val="en-US" w:eastAsia="zh-CN"/>
              </w:rPr>
            </w:pPr>
          </w:p>
        </w:tc>
        <w:tc>
          <w:tcPr>
            <w:tcW w:w="2591" w:type="dxa"/>
            <w:shd w:val="clear" w:color="auto" w:fill="auto"/>
          </w:tcPr>
          <w:p>
            <w:pPr>
              <w:autoSpaceDE w:val="0"/>
              <w:autoSpaceDN w:val="0"/>
              <w:adjustRightInd w:val="0"/>
              <w:rPr>
                <w:sz w:val="22"/>
                <w:szCs w:val="22"/>
              </w:rPr>
            </w:pPr>
            <w:r>
              <w:rPr>
                <w:rFonts w:hint="eastAsia"/>
                <w:sz w:val="22"/>
                <w:szCs w:val="22"/>
              </w:rPr>
              <w:t>3、艾贵控股</w:t>
            </w:r>
          </w:p>
          <w:p>
            <w:pPr>
              <w:autoSpaceDE w:val="0"/>
              <w:autoSpaceDN w:val="0"/>
              <w:adjustRightInd w:val="0"/>
              <w:rPr>
                <w:sz w:val="22"/>
                <w:szCs w:val="22"/>
              </w:rPr>
            </w:pPr>
          </w:p>
        </w:tc>
        <w:tc>
          <w:tcPr>
            <w:tcW w:w="5103" w:type="dxa"/>
            <w:shd w:val="clear" w:color="auto" w:fill="auto"/>
          </w:tcPr>
          <w:p>
            <w:pPr>
              <w:autoSpaceDE w:val="0"/>
              <w:autoSpaceDN w:val="0"/>
              <w:adjustRightInd w:val="0"/>
              <w:rPr>
                <w:sz w:val="22"/>
                <w:szCs w:val="22"/>
              </w:rPr>
            </w:pPr>
            <w:r>
              <w:rPr>
                <w:rFonts w:hint="eastAsia"/>
                <w:sz w:val="22"/>
                <w:szCs w:val="22"/>
              </w:rPr>
              <w:t>艾贵控股成立的目的是用于持有目标公司初始的</w:t>
            </w:r>
            <w:r>
              <w:rPr>
                <w:sz w:val="22"/>
                <w:szCs w:val="22"/>
              </w:rPr>
              <w:t>100%</w:t>
            </w:r>
            <w:r>
              <w:rPr>
                <w:rFonts w:hint="eastAsia"/>
                <w:sz w:val="22"/>
                <w:szCs w:val="22"/>
              </w:rPr>
              <w:t>股权。目标公司的主要业务是在亚太地区投资、开发、拥有和经营能源基础设施（包括垃圾存放和回收的资产）。目标公司目前在中国未开展任何业务活动。</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trHeight w:val="279" w:hRule="atLeast"/>
          <w:jc w:val="center"/>
        </w:trPr>
        <w:tc>
          <w:tcPr>
            <w:tcW w:w="1940" w:type="dxa"/>
            <w:vMerge w:val="restart"/>
            <w:shd w:val="clear" w:color="auto" w:fill="D9D9D9"/>
          </w:tcPr>
          <w:p>
            <w:pPr>
              <w:pStyle w:val="3"/>
              <w:rPr>
                <w:rFonts w:cs="Times New Roman"/>
                <w:sz w:val="22"/>
                <w:szCs w:val="22"/>
                <w:lang w:val="en-US" w:eastAsia="zh-CN"/>
              </w:rPr>
            </w:pPr>
            <w:r>
              <w:rPr>
                <w:rFonts w:cs="Times New Roman"/>
                <w:sz w:val="22"/>
                <w:szCs w:val="22"/>
                <w:lang w:val="en-GB" w:eastAsia="zh-CN"/>
              </w:rPr>
              <w:t>简易案件理由（可以单选，也可以多选）</w:t>
            </w:r>
          </w:p>
        </w:tc>
        <w:tc>
          <w:tcPr>
            <w:tcW w:w="7694" w:type="dxa"/>
            <w:gridSpan w:val="2"/>
            <w:shd w:val="clear" w:color="auto" w:fill="auto"/>
          </w:tcPr>
          <w:p>
            <w:pPr>
              <w:pStyle w:val="3"/>
              <w:spacing w:after="0"/>
              <w:rPr>
                <w:rFonts w:cs="Times New Roman"/>
                <w:sz w:val="22"/>
                <w:szCs w:val="22"/>
                <w:lang w:val="en-US" w:eastAsia="zh-CN"/>
              </w:rPr>
            </w:pPr>
            <w:r>
              <w:rPr>
                <w:rFonts w:ascii="Wingdings" w:hAnsi="Wingdings"/>
                <w:sz w:val="22"/>
                <w:szCs w:val="22"/>
                <w:lang w:eastAsia="zh-CN"/>
              </w:rPr>
              <w:sym w:font="Wingdings" w:char="F06F"/>
            </w:r>
            <w:r>
              <w:rPr>
                <w:rFonts w:cs="Times New Roman"/>
                <w:sz w:val="22"/>
                <w:szCs w:val="22"/>
                <w:lang w:val="en-GB" w:eastAsia="zh-CN"/>
              </w:rPr>
              <w:t xml:space="preserve"> 1、在同一相关市场，所有参与集中的经营者所占市场份额之和小于15%。</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trHeight w:val="330" w:hRule="atLeast"/>
          <w:jc w:val="center"/>
        </w:trPr>
        <w:tc>
          <w:tcPr>
            <w:tcW w:w="1940" w:type="dxa"/>
            <w:vMerge w:val="continue"/>
            <w:shd w:val="clear" w:color="auto" w:fill="D9D9D9"/>
          </w:tcPr>
          <w:p>
            <w:pPr>
              <w:pStyle w:val="3"/>
              <w:rPr>
                <w:rFonts w:cs="Times New Roman"/>
                <w:sz w:val="22"/>
                <w:szCs w:val="22"/>
                <w:lang w:val="en-US" w:eastAsia="zh-CN"/>
              </w:rPr>
            </w:pPr>
          </w:p>
        </w:tc>
        <w:tc>
          <w:tcPr>
            <w:tcW w:w="7694" w:type="dxa"/>
            <w:gridSpan w:val="2"/>
            <w:shd w:val="clear" w:color="auto" w:fill="auto"/>
          </w:tcPr>
          <w:p>
            <w:pPr>
              <w:pStyle w:val="3"/>
              <w:spacing w:after="0"/>
              <w:rPr>
                <w:rFonts w:cs="Times New Roman"/>
                <w:sz w:val="22"/>
                <w:szCs w:val="22"/>
                <w:lang w:val="en-US" w:eastAsia="zh-CN"/>
              </w:rPr>
            </w:pPr>
            <w:r>
              <w:rPr>
                <w:rFonts w:ascii="Wingdings" w:hAnsi="Wingdings"/>
                <w:sz w:val="22"/>
                <w:szCs w:val="22"/>
                <w:lang w:eastAsia="zh-CN"/>
              </w:rPr>
              <w:sym w:font="Wingdings" w:char="F06F"/>
            </w:r>
            <w:r>
              <w:rPr>
                <w:rFonts w:hint="eastAsia" w:cs="Times New Roman"/>
                <w:sz w:val="22"/>
                <w:szCs w:val="22"/>
                <w:lang w:val="en-GB" w:eastAsia="zh-CN"/>
              </w:rPr>
              <w:t xml:space="preserve"> </w:t>
            </w:r>
            <w:r>
              <w:rPr>
                <w:rFonts w:cs="Times New Roman"/>
                <w:sz w:val="22"/>
                <w:szCs w:val="22"/>
                <w:lang w:val="en-GB" w:eastAsia="zh-CN"/>
              </w:rPr>
              <w:t>2、存在上下游关系的参与集中的经营者，在上下游市场所占的市场份额均小于25%。</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trHeight w:val="285" w:hRule="atLeast"/>
          <w:jc w:val="center"/>
        </w:trPr>
        <w:tc>
          <w:tcPr>
            <w:tcW w:w="1940" w:type="dxa"/>
            <w:vMerge w:val="continue"/>
            <w:shd w:val="clear" w:color="auto" w:fill="D9D9D9"/>
          </w:tcPr>
          <w:p>
            <w:pPr>
              <w:pStyle w:val="3"/>
              <w:rPr>
                <w:rFonts w:cs="Times New Roman"/>
                <w:sz w:val="22"/>
                <w:szCs w:val="22"/>
                <w:lang w:val="en-US" w:eastAsia="zh-CN"/>
              </w:rPr>
            </w:pPr>
          </w:p>
        </w:tc>
        <w:tc>
          <w:tcPr>
            <w:tcW w:w="7694" w:type="dxa"/>
            <w:gridSpan w:val="2"/>
            <w:shd w:val="clear" w:color="auto" w:fill="auto"/>
          </w:tcPr>
          <w:p>
            <w:pPr>
              <w:pStyle w:val="3"/>
              <w:spacing w:after="0"/>
              <w:rPr>
                <w:rFonts w:cs="Times New Roman"/>
                <w:sz w:val="22"/>
                <w:szCs w:val="22"/>
                <w:lang w:val="en-US" w:eastAsia="zh-CN"/>
              </w:rPr>
            </w:pPr>
            <w:r>
              <w:rPr>
                <w:rFonts w:ascii="Wingdings" w:hAnsi="Wingdings"/>
                <w:sz w:val="22"/>
                <w:szCs w:val="22"/>
                <w:lang w:eastAsia="zh-CN"/>
              </w:rPr>
              <w:sym w:font="Wingdings" w:char="F06F"/>
            </w:r>
            <w:r>
              <w:rPr>
                <w:rFonts w:cs="Times New Roman"/>
                <w:sz w:val="22"/>
                <w:szCs w:val="22"/>
                <w:lang w:val="en-GB" w:eastAsia="zh-CN"/>
              </w:rPr>
              <w:t xml:space="preserve"> 3、不在同一相关市场、也不存在上下游关系的参与集中的经营者，在与交易有关的每个市场所占的份额均小于25%。</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trHeight w:val="870" w:hRule="atLeast"/>
          <w:jc w:val="center"/>
        </w:trPr>
        <w:tc>
          <w:tcPr>
            <w:tcW w:w="1940" w:type="dxa"/>
            <w:vMerge w:val="continue"/>
            <w:shd w:val="clear" w:color="auto" w:fill="D9D9D9"/>
          </w:tcPr>
          <w:p>
            <w:pPr>
              <w:pStyle w:val="3"/>
              <w:rPr>
                <w:rFonts w:cs="Times New Roman"/>
                <w:sz w:val="22"/>
                <w:szCs w:val="22"/>
                <w:lang w:val="en-US" w:eastAsia="zh-CN"/>
              </w:rPr>
            </w:pPr>
          </w:p>
        </w:tc>
        <w:tc>
          <w:tcPr>
            <w:tcW w:w="7694" w:type="dxa"/>
            <w:gridSpan w:val="2"/>
            <w:shd w:val="clear" w:color="auto" w:fill="auto"/>
          </w:tcPr>
          <w:p>
            <w:pPr>
              <w:pStyle w:val="3"/>
              <w:spacing w:after="0"/>
              <w:rPr>
                <w:rFonts w:cs="Times New Roman"/>
                <w:sz w:val="22"/>
                <w:szCs w:val="22"/>
                <w:lang w:val="en-US" w:eastAsia="zh-CN"/>
              </w:rPr>
            </w:pPr>
            <w:r>
              <w:rPr>
                <w:rFonts w:ascii="Wingdings" w:hAnsi="Wingdings"/>
                <w:sz w:val="22"/>
                <w:szCs w:val="22"/>
                <w:lang w:eastAsia="zh-CN"/>
              </w:rPr>
              <w:sym w:font="Wingdings" w:char="F06F"/>
            </w:r>
            <w:r>
              <w:rPr>
                <w:rFonts w:cs="Times New Roman"/>
                <w:sz w:val="22"/>
                <w:szCs w:val="22"/>
                <w:lang w:val="en-GB" w:eastAsia="zh-CN"/>
              </w:rPr>
              <w:t xml:space="preserve"> 4、参与集中的经营者在中国境外设立合营企业，合营企业不在中国境内从事经济活动。</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trHeight w:val="264" w:hRule="atLeast"/>
          <w:jc w:val="center"/>
        </w:trPr>
        <w:tc>
          <w:tcPr>
            <w:tcW w:w="1940" w:type="dxa"/>
            <w:vMerge w:val="continue"/>
            <w:shd w:val="clear" w:color="auto" w:fill="D9D9D9"/>
          </w:tcPr>
          <w:p>
            <w:pPr>
              <w:pStyle w:val="3"/>
              <w:rPr>
                <w:rFonts w:cs="Times New Roman"/>
                <w:sz w:val="22"/>
                <w:szCs w:val="22"/>
                <w:lang w:val="en-US" w:eastAsia="zh-CN"/>
              </w:rPr>
            </w:pPr>
          </w:p>
        </w:tc>
        <w:tc>
          <w:tcPr>
            <w:tcW w:w="7694" w:type="dxa"/>
            <w:gridSpan w:val="2"/>
            <w:shd w:val="clear" w:color="auto" w:fill="auto"/>
          </w:tcPr>
          <w:p>
            <w:pPr>
              <w:pStyle w:val="3"/>
              <w:spacing w:after="0"/>
              <w:rPr>
                <w:rFonts w:cs="Times New Roman"/>
                <w:sz w:val="22"/>
                <w:szCs w:val="22"/>
                <w:lang w:val="en-US" w:eastAsia="zh-CN"/>
              </w:rPr>
            </w:pPr>
            <w:r>
              <w:rPr>
                <w:rFonts w:ascii="Wingdings" w:hAnsi="Wingdings"/>
                <w:sz w:val="22"/>
                <w:szCs w:val="22"/>
                <w:lang w:eastAsia="zh-CN"/>
              </w:rPr>
              <w:t></w:t>
            </w:r>
            <w:r>
              <w:rPr>
                <w:rFonts w:cs="Times New Roman"/>
                <w:sz w:val="22"/>
                <w:szCs w:val="22"/>
                <w:lang w:val="en-GB" w:eastAsia="zh-CN"/>
              </w:rPr>
              <w:t xml:space="preserve"> 5、参与集中的经营者收购境外企业股权或资产的，该境外企业不在中国境内从事经济活动。</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trHeight w:val="345" w:hRule="atLeast"/>
          <w:jc w:val="center"/>
        </w:trPr>
        <w:tc>
          <w:tcPr>
            <w:tcW w:w="1940" w:type="dxa"/>
            <w:vMerge w:val="continue"/>
            <w:shd w:val="clear" w:color="auto" w:fill="D9D9D9"/>
          </w:tcPr>
          <w:p>
            <w:pPr>
              <w:pStyle w:val="3"/>
              <w:rPr>
                <w:rFonts w:cs="Times New Roman"/>
                <w:sz w:val="22"/>
                <w:szCs w:val="22"/>
                <w:lang w:val="en-US" w:eastAsia="zh-CN"/>
              </w:rPr>
            </w:pPr>
          </w:p>
        </w:tc>
        <w:tc>
          <w:tcPr>
            <w:tcW w:w="7694" w:type="dxa"/>
            <w:gridSpan w:val="2"/>
            <w:shd w:val="clear" w:color="auto" w:fill="auto"/>
          </w:tcPr>
          <w:p>
            <w:pPr>
              <w:pStyle w:val="3"/>
              <w:spacing w:after="0"/>
              <w:rPr>
                <w:rFonts w:cs="Times New Roman"/>
                <w:sz w:val="22"/>
                <w:szCs w:val="22"/>
                <w:lang w:val="en-US" w:eastAsia="zh-CN"/>
              </w:rPr>
            </w:pPr>
            <w:r>
              <w:rPr>
                <w:rFonts w:ascii="Wingdings" w:hAnsi="Wingdings"/>
                <w:sz w:val="22"/>
                <w:szCs w:val="22"/>
                <w:lang w:eastAsia="zh-CN"/>
              </w:rPr>
              <w:sym w:font="Wingdings" w:char="F06F"/>
            </w:r>
            <w:r>
              <w:rPr>
                <w:rFonts w:cs="Times New Roman"/>
                <w:sz w:val="22"/>
                <w:szCs w:val="22"/>
                <w:lang w:val="en-GB" w:eastAsia="zh-CN"/>
              </w:rPr>
              <w:t xml:space="preserve"> 6、由两个以上的经营者共同控制的合营企业，通过集中被其中一个或一个以上经营者控制。</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jc w:val="center"/>
        </w:trPr>
        <w:tc>
          <w:tcPr>
            <w:tcW w:w="1940" w:type="dxa"/>
            <w:shd w:val="clear" w:color="auto" w:fill="D9D9D9"/>
          </w:tcPr>
          <w:p>
            <w:pPr>
              <w:pStyle w:val="3"/>
              <w:rPr>
                <w:rFonts w:cs="Times New Roman"/>
                <w:sz w:val="22"/>
                <w:szCs w:val="22"/>
                <w:lang w:val="en-US"/>
              </w:rPr>
            </w:pPr>
            <w:r>
              <w:rPr>
                <w:rFonts w:cs="Times New Roman"/>
                <w:sz w:val="22"/>
                <w:szCs w:val="22"/>
                <w:lang w:val="en-GB"/>
              </w:rPr>
              <w:t>备注</w:t>
            </w:r>
          </w:p>
        </w:tc>
        <w:tc>
          <w:tcPr>
            <w:tcW w:w="7694" w:type="dxa"/>
            <w:gridSpan w:val="2"/>
            <w:shd w:val="clear" w:color="auto" w:fill="auto"/>
          </w:tcPr>
          <w:p>
            <w:pPr>
              <w:rPr>
                <w:sz w:val="22"/>
                <w:szCs w:val="22"/>
              </w:rPr>
            </w:pPr>
            <w:r>
              <w:rPr>
                <w:rFonts w:hint="eastAsia"/>
                <w:sz w:val="22"/>
                <w:szCs w:val="22"/>
              </w:rPr>
              <w:t>不适用</w:t>
            </w:r>
          </w:p>
        </w:tc>
      </w:tr>
    </w:tbl>
    <w:p>
      <w:pPr>
        <w:pStyle w:val="3"/>
        <w:rPr>
          <w:sz w:val="22"/>
          <w:szCs w:val="22"/>
          <w:lang w:val="en-GB" w:eastAsia="zh-CN"/>
        </w:rPr>
      </w:pPr>
    </w:p>
    <w:p>
      <w:pPr>
        <w:rPr>
          <w:sz w:val="22"/>
          <w:szCs w:val="22"/>
          <w:lang w:val="zh-CN"/>
        </w:rPr>
      </w:pPr>
    </w:p>
    <w:sectPr>
      <w:headerReference r:id="rId5" w:type="first"/>
      <w:footerReference r:id="rId8" w:type="first"/>
      <w:headerReference r:id="rId3" w:type="default"/>
      <w:footerReference r:id="rId6" w:type="default"/>
      <w:headerReference r:id="rId4" w:type="even"/>
      <w:footerReference r:id="rId7" w:type="even"/>
      <w:pgSz w:w="11906" w:h="16838"/>
      <w:pgMar w:top="1440" w:right="1800" w:bottom="1440" w:left="1800" w:header="708" w:footer="708" w:gutter="0"/>
      <w:cols w:space="708"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AFF" w:usb1="C0007843"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A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A00002EF" w:usb1="4000207B" w:usb2="00000000" w:usb3="00000000" w:csb0="2000009F" w:csb1="00000000"/>
  </w:font>
  <w:font w:name="Simplified Arabic">
    <w:panose1 w:val="02020603050405020304"/>
    <w:charset w:val="B2"/>
    <w:family w:val="roman"/>
    <w:pitch w:val="default"/>
    <w:sig w:usb0="00002003" w:usb1="00000000" w:usb2="00000000" w:usb3="00000000" w:csb0="00000041" w:csb1="20080000"/>
  </w:font>
  <w:font w:name="Segoe UI">
    <w:panose1 w:val="020B0502040204020203"/>
    <w:charset w:val="00"/>
    <w:family w:val="swiss"/>
    <w:pitch w:val="default"/>
    <w:sig w:usb0="E10022FF" w:usb1="C000E47F" w:usb2="00000029" w:usb3="00000000" w:csb0="200001DF" w:csb1="2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id w:val="-898130815"/>
      <w:docPartObj>
        <w:docPartGallery w:val="AutoText"/>
      </w:docPartObj>
    </w:sdtPr>
    <w:sdtEndPr>
      <w:rPr>
        <w:sz w:val="22"/>
      </w:rPr>
    </w:sdtEndPr>
    <w:sdtContent>
      <w:p>
        <w:pPr>
          <w:pStyle w:val="5"/>
          <w:jc w:val="center"/>
          <w:rPr>
            <w:sz w:val="22"/>
          </w:rPr>
        </w:pPr>
        <w:r>
          <w:rPr>
            <w:sz w:val="22"/>
          </w:rPr>
          <w:fldChar w:fldCharType="begin"/>
        </w:r>
        <w:r>
          <w:rPr>
            <w:sz w:val="22"/>
          </w:rPr>
          <w:instrText xml:space="preserve"> PAGE   \* MERGEFORMAT </w:instrText>
        </w:r>
        <w:r>
          <w:rPr>
            <w:sz w:val="22"/>
          </w:rPr>
          <w:fldChar w:fldCharType="separate"/>
        </w:r>
        <w:r>
          <w:rPr>
            <w:sz w:val="22"/>
          </w:rPr>
          <w:t>1</w:t>
        </w:r>
        <w:r>
          <w:rPr>
            <w:sz w:val="22"/>
          </w:rPr>
          <w:fldChar w:fldCharType="end"/>
        </w:r>
      </w:p>
    </w:sdtContent>
  </w:sdt>
  <w:p>
    <w:pPr>
      <w:pStyle w:val="5"/>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5"/>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5"/>
    </w:pP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6"/>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6"/>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6"/>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7FA3498"/>
    <w:multiLevelType w:val="multilevel"/>
    <w:tmpl w:val="07FA3498"/>
    <w:lvl w:ilvl="0" w:tentative="0">
      <w:start w:val="1"/>
      <w:numFmt w:val="decimal"/>
      <w:pStyle w:val="28"/>
      <w:isLgl/>
      <w:lvlText w:val="%1."/>
      <w:lvlJc w:val="left"/>
      <w:pPr>
        <w:tabs>
          <w:tab w:val="left" w:pos="720"/>
        </w:tabs>
        <w:ind w:left="720" w:hanging="720"/>
      </w:pPr>
      <w:rPr>
        <w:rFonts w:ascii="Times New Roman" w:hAnsi="Times New Roman" w:cs="Times New Roman"/>
        <w:b w:val="0"/>
        <w:i w:val="0"/>
        <w:caps w:val="0"/>
        <w:strike w:val="0"/>
        <w:dstrike w:val="0"/>
        <w:vanish w:val="0"/>
        <w:color w:val="auto"/>
        <w:sz w:val="24"/>
        <w:u w:val="none"/>
        <w:vertAlign w:val="baseline"/>
      </w:rPr>
    </w:lvl>
    <w:lvl w:ilvl="1" w:tentative="0">
      <w:start w:val="1"/>
      <w:numFmt w:val="lowerLetter"/>
      <w:pStyle w:val="27"/>
      <w:lvlText w:val="(%2)"/>
      <w:lvlJc w:val="left"/>
      <w:pPr>
        <w:tabs>
          <w:tab w:val="left" w:pos="720"/>
        </w:tabs>
        <w:ind w:left="720" w:hanging="720"/>
      </w:pPr>
      <w:rPr>
        <w:rFonts w:ascii="Times New Roman" w:hAnsi="Times New Roman" w:cs="Times New Roman"/>
        <w:b w:val="0"/>
        <w:i w:val="0"/>
        <w:caps w:val="0"/>
        <w:strike w:val="0"/>
        <w:dstrike w:val="0"/>
        <w:vanish w:val="0"/>
        <w:color w:val="auto"/>
        <w:sz w:val="24"/>
        <w:u w:val="none"/>
        <w:vertAlign w:val="baseline"/>
      </w:rPr>
    </w:lvl>
    <w:lvl w:ilvl="2" w:tentative="0">
      <w:start w:val="1"/>
      <w:numFmt w:val="bullet"/>
      <w:pStyle w:val="26"/>
      <w:lvlText w:val=""/>
      <w:lvlJc w:val="left"/>
      <w:pPr>
        <w:tabs>
          <w:tab w:val="left" w:pos="1440"/>
        </w:tabs>
        <w:ind w:left="1440" w:hanging="720"/>
      </w:pPr>
      <w:rPr>
        <w:rFonts w:hint="default" w:ascii="Symbol" w:hAnsi="Symbol"/>
        <w:b w:val="0"/>
        <w:i w:val="0"/>
        <w:caps w:val="0"/>
        <w:strike w:val="0"/>
        <w:dstrike w:val="0"/>
        <w:vanish w:val="0"/>
        <w:color w:val="auto"/>
        <w:sz w:val="24"/>
        <w:u w:val="none"/>
        <w:vertAlign w:val="baseline"/>
      </w:rPr>
    </w:lvl>
    <w:lvl w:ilvl="3" w:tentative="0">
      <w:start w:val="1"/>
      <w:numFmt w:val="upperLetter"/>
      <w:pStyle w:val="25"/>
      <w:lvlText w:val="(%4)"/>
      <w:lvlJc w:val="left"/>
      <w:pPr>
        <w:tabs>
          <w:tab w:val="left" w:pos="2160"/>
        </w:tabs>
        <w:ind w:left="2160" w:hanging="720"/>
      </w:pPr>
      <w:rPr>
        <w:rFonts w:ascii="Times New Roman" w:hAnsi="Times New Roman" w:cs="Times New Roman"/>
        <w:b w:val="0"/>
        <w:i w:val="0"/>
        <w:caps w:val="0"/>
        <w:strike w:val="0"/>
        <w:dstrike w:val="0"/>
        <w:vanish w:val="0"/>
        <w:color w:val="auto"/>
        <w:sz w:val="24"/>
        <w:u w:val="none"/>
        <w:vertAlign w:val="baseline"/>
      </w:rPr>
    </w:lvl>
    <w:lvl w:ilvl="4" w:tentative="0">
      <w:start w:val="1"/>
      <w:numFmt w:val="decimal"/>
      <w:pStyle w:val="24"/>
      <w:lvlText w:val="(%5)"/>
      <w:lvlJc w:val="left"/>
      <w:pPr>
        <w:tabs>
          <w:tab w:val="left" w:pos="2880"/>
        </w:tabs>
        <w:ind w:left="2880" w:hanging="720"/>
      </w:pPr>
      <w:rPr>
        <w:rFonts w:ascii="Times New Roman" w:hAnsi="Times New Roman" w:cs="Times New Roman"/>
        <w:b w:val="0"/>
        <w:i w:val="0"/>
        <w:caps w:val="0"/>
        <w:strike w:val="0"/>
        <w:dstrike w:val="0"/>
        <w:vanish w:val="0"/>
        <w:color w:val="auto"/>
        <w:sz w:val="24"/>
        <w:u w:val="none"/>
        <w:vertAlign w:val="baseline"/>
      </w:rPr>
    </w:lvl>
    <w:lvl w:ilvl="5" w:tentative="0">
      <w:start w:val="1"/>
      <w:numFmt w:val="none"/>
      <w:lvlRestart w:val="0"/>
      <w:pStyle w:val="23"/>
      <w:suff w:val="nothing"/>
      <w:lvlText w:val=""/>
      <w:lvlJc w:val="left"/>
      <w:pPr>
        <w:ind w:left="0" w:firstLine="0"/>
      </w:pPr>
      <w:rPr>
        <w:rFonts w:ascii="Times New Roman" w:hAnsi="Times New Roman" w:cs="Times New Roman"/>
        <w:b w:val="0"/>
        <w:i w:val="0"/>
        <w:caps w:val="0"/>
        <w:strike w:val="0"/>
        <w:dstrike w:val="0"/>
        <w:vanish w:val="0"/>
        <w:color w:val="auto"/>
        <w:sz w:val="24"/>
        <w:u w:val="none"/>
        <w:vertAlign w:val="baseline"/>
      </w:rPr>
    </w:lvl>
    <w:lvl w:ilvl="6" w:tentative="0">
      <w:start w:val="1"/>
      <w:numFmt w:val="none"/>
      <w:lvlRestart w:val="0"/>
      <w:pStyle w:val="22"/>
      <w:suff w:val="nothing"/>
      <w:lvlText w:val=""/>
      <w:lvlJc w:val="left"/>
      <w:pPr>
        <w:ind w:left="0" w:firstLine="0"/>
      </w:pPr>
      <w:rPr>
        <w:rFonts w:ascii="Times New Roman" w:hAnsi="Times New Roman" w:cs="Times New Roman"/>
        <w:b w:val="0"/>
        <w:i w:val="0"/>
        <w:caps w:val="0"/>
        <w:strike w:val="0"/>
        <w:dstrike w:val="0"/>
        <w:vanish w:val="0"/>
        <w:color w:val="auto"/>
        <w:sz w:val="24"/>
        <w:u w:val="none"/>
        <w:vertAlign w:val="baseline"/>
      </w:rPr>
    </w:lvl>
    <w:lvl w:ilvl="7" w:tentative="0">
      <w:start w:val="1"/>
      <w:numFmt w:val="none"/>
      <w:lvlRestart w:val="0"/>
      <w:pStyle w:val="21"/>
      <w:suff w:val="nothing"/>
      <w:lvlText w:val=""/>
      <w:lvlJc w:val="left"/>
      <w:pPr>
        <w:ind w:left="0" w:firstLine="0"/>
      </w:pPr>
      <w:rPr>
        <w:rFonts w:ascii="Times New Roman" w:hAnsi="Times New Roman" w:cs="Times New Roman"/>
        <w:b w:val="0"/>
        <w:i w:val="0"/>
        <w:caps w:val="0"/>
        <w:strike w:val="0"/>
        <w:dstrike w:val="0"/>
        <w:vanish w:val="0"/>
        <w:color w:val="auto"/>
        <w:sz w:val="24"/>
        <w:u w:val="none"/>
        <w:vertAlign w:val="baseline"/>
      </w:rPr>
    </w:lvl>
    <w:lvl w:ilvl="8" w:tentative="0">
      <w:start w:val="1"/>
      <w:numFmt w:val="none"/>
      <w:lvlRestart w:val="0"/>
      <w:pStyle w:val="20"/>
      <w:suff w:val="nothing"/>
      <w:lvlText w:val=""/>
      <w:lvlJc w:val="left"/>
      <w:pPr>
        <w:ind w:left="0" w:firstLine="0"/>
      </w:pPr>
      <w:rPr>
        <w:rFonts w:ascii="Times New Roman" w:hAnsi="Times New Roman" w:cs="Times New Roman"/>
        <w:b w:val="0"/>
        <w:i w:val="0"/>
        <w:caps w:val="0"/>
        <w:strike w:val="0"/>
        <w:dstrike w:val="0"/>
        <w:vanish w:val="0"/>
        <w:color w:val="auto"/>
        <w:sz w:val="24"/>
        <w:u w:val="none"/>
        <w:vertAlign w:val="baseline"/>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hideSpellingErrors/>
  <w:hideGrammaticalErrors/>
  <w:doNotTrackMoves/>
  <w:doNotTrackFormatting/>
  <w:trackRevisions w:val="1"/>
  <w:documentProtection w:enforcement="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92E0B"/>
    <w:rsid w:val="00001A6D"/>
    <w:rsid w:val="0005110A"/>
    <w:rsid w:val="00075F30"/>
    <w:rsid w:val="00081927"/>
    <w:rsid w:val="0008652E"/>
    <w:rsid w:val="001620F1"/>
    <w:rsid w:val="001937A5"/>
    <w:rsid w:val="001E7029"/>
    <w:rsid w:val="001E7764"/>
    <w:rsid w:val="001F5218"/>
    <w:rsid w:val="0022234D"/>
    <w:rsid w:val="0024351F"/>
    <w:rsid w:val="002525EC"/>
    <w:rsid w:val="002752CF"/>
    <w:rsid w:val="00333793"/>
    <w:rsid w:val="00346D4D"/>
    <w:rsid w:val="00352AEF"/>
    <w:rsid w:val="003A28B1"/>
    <w:rsid w:val="003A7C04"/>
    <w:rsid w:val="0041446C"/>
    <w:rsid w:val="0047593C"/>
    <w:rsid w:val="004871BD"/>
    <w:rsid w:val="004D1096"/>
    <w:rsid w:val="004E5A46"/>
    <w:rsid w:val="004F0041"/>
    <w:rsid w:val="004F26EC"/>
    <w:rsid w:val="00555FD7"/>
    <w:rsid w:val="0064168F"/>
    <w:rsid w:val="006450E1"/>
    <w:rsid w:val="00676DEA"/>
    <w:rsid w:val="006D5A9E"/>
    <w:rsid w:val="006E141B"/>
    <w:rsid w:val="00705E85"/>
    <w:rsid w:val="00721041"/>
    <w:rsid w:val="007472FC"/>
    <w:rsid w:val="007535D1"/>
    <w:rsid w:val="00764DB0"/>
    <w:rsid w:val="00772AA6"/>
    <w:rsid w:val="0079009C"/>
    <w:rsid w:val="007A47AA"/>
    <w:rsid w:val="008436B7"/>
    <w:rsid w:val="00852A85"/>
    <w:rsid w:val="008562CE"/>
    <w:rsid w:val="00862F7B"/>
    <w:rsid w:val="008656E0"/>
    <w:rsid w:val="00874B87"/>
    <w:rsid w:val="008907DB"/>
    <w:rsid w:val="008A3B57"/>
    <w:rsid w:val="009004F6"/>
    <w:rsid w:val="00932B1D"/>
    <w:rsid w:val="00944E3F"/>
    <w:rsid w:val="00955B7B"/>
    <w:rsid w:val="00966276"/>
    <w:rsid w:val="00976BEB"/>
    <w:rsid w:val="0099230E"/>
    <w:rsid w:val="009D60C7"/>
    <w:rsid w:val="009F0D06"/>
    <w:rsid w:val="00A766C7"/>
    <w:rsid w:val="00AA5D49"/>
    <w:rsid w:val="00AB2557"/>
    <w:rsid w:val="00AB7F70"/>
    <w:rsid w:val="00B00E34"/>
    <w:rsid w:val="00B15B57"/>
    <w:rsid w:val="00B509AC"/>
    <w:rsid w:val="00B80E6D"/>
    <w:rsid w:val="00B963C0"/>
    <w:rsid w:val="00BC063A"/>
    <w:rsid w:val="00BF6B18"/>
    <w:rsid w:val="00C00AB9"/>
    <w:rsid w:val="00C855C4"/>
    <w:rsid w:val="00CD590A"/>
    <w:rsid w:val="00CD73F7"/>
    <w:rsid w:val="00D211F6"/>
    <w:rsid w:val="00D458E2"/>
    <w:rsid w:val="00D91095"/>
    <w:rsid w:val="00D92E0B"/>
    <w:rsid w:val="00DC05CD"/>
    <w:rsid w:val="00DC1875"/>
    <w:rsid w:val="00DE21ED"/>
    <w:rsid w:val="00E44950"/>
    <w:rsid w:val="00E94D11"/>
    <w:rsid w:val="00EF2CBF"/>
    <w:rsid w:val="00F217B4"/>
    <w:rsid w:val="00F4045F"/>
    <w:rsid w:val="00F524EE"/>
    <w:rsid w:val="00F877CB"/>
    <w:rsid w:val="00FC7EB3"/>
    <w:rsid w:val="00FD21DC"/>
    <w:rsid w:val="0E5E301B"/>
    <w:rsid w:val="78D647DF"/>
  </w:rsids>
  <m:mathPr>
    <m:mathFont m:val="Cambria Math"/>
    <m:brkBin m:val="before"/>
    <m:brkBinSub m:val="--"/>
    <m:smallFrac m:val="0"/>
    <m:dispDef/>
    <m:lMargin m:val="0"/>
    <m:rMargin m:val="0"/>
    <m:defJc m:val="centerGroup"/>
    <m:wrapIndent m:val="1440"/>
    <m:intLim m:val="subSup"/>
    <m:naryLim m:val="undOvr"/>
  </m:mathPr>
  <w:doNotAutoCompressPictures/>
  <w:themeFontLang w:val="en-GB"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mc:Ignorable="w14">
  <w:docDefaults>
    <w:rPrDefault>
      <w:rPr>
        <w:rFonts w:asciiTheme="minorHAnsi" w:hAnsiTheme="minorHAnsi" w:eastAsiaTheme="minorEastAsia" w:cstheme="minorBidi"/>
      </w:rPr>
    </w:r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qFormat="1"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qFormat="1" w:unhideWhenUsed="0" w:uiPriority="0" w:semiHidden="0"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name="Body Text 2"/>
    <w:lsdException w:qFormat="1" w:uiPriority="99" w:name="Body Text 3"/>
    <w:lsdException w:uiPriority="99" w:name="Body Text Indent 2"/>
    <w:lsdException w:uiPriority="99" w:name="Body Text Indent 3"/>
    <w:lsdException w:uiPriority="99" w:name="Block Text"/>
    <w:lsdException w:qFormat="1" w:unhideWhenUsed="0"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40" w:line="240" w:lineRule="auto"/>
      <w:jc w:val="both"/>
    </w:pPr>
    <w:rPr>
      <w:rFonts w:ascii="Times New Roman" w:hAnsi="Times New Roman" w:eastAsia="宋体" w:cs="Times New Roman"/>
      <w:sz w:val="24"/>
      <w:szCs w:val="24"/>
      <w:lang w:val="en-GB" w:eastAsia="zh-CN" w:bidi="ar-AE"/>
    </w:rPr>
  </w:style>
  <w:style w:type="character" w:default="1" w:styleId="8">
    <w:name w:val="Default Paragraph Font"/>
    <w:semiHidden/>
    <w:unhideWhenUsed/>
    <w:uiPriority w:val="1"/>
  </w:style>
  <w:style w:type="table" w:default="1" w:styleId="11">
    <w:name w:val="Normal Table"/>
    <w:semiHidden/>
    <w:unhideWhenUsed/>
    <w:uiPriority w:val="99"/>
    <w:tblPr>
      <w:tblLayout w:type="fixed"/>
      <w:tblCellMar>
        <w:top w:w="0" w:type="dxa"/>
        <w:left w:w="108" w:type="dxa"/>
        <w:bottom w:w="0" w:type="dxa"/>
        <w:right w:w="108" w:type="dxa"/>
      </w:tblCellMar>
    </w:tblPr>
  </w:style>
  <w:style w:type="paragraph" w:styleId="2">
    <w:name w:val="Body Text 3"/>
    <w:basedOn w:val="1"/>
    <w:link w:val="29"/>
    <w:semiHidden/>
    <w:unhideWhenUsed/>
    <w:qFormat/>
    <w:uiPriority w:val="99"/>
    <w:pPr>
      <w:spacing w:after="120"/>
    </w:pPr>
    <w:rPr>
      <w:sz w:val="16"/>
      <w:szCs w:val="16"/>
    </w:rPr>
  </w:style>
  <w:style w:type="paragraph" w:styleId="3">
    <w:name w:val="Body Text"/>
    <w:basedOn w:val="1"/>
    <w:link w:val="14"/>
    <w:qFormat/>
    <w:uiPriority w:val="0"/>
    <w:rPr>
      <w:rFonts w:cs="Simplified Arabic"/>
      <w:lang w:val="zh-CN" w:eastAsia="en-GB"/>
    </w:rPr>
  </w:style>
  <w:style w:type="paragraph" w:styleId="4">
    <w:name w:val="Balloon Text"/>
    <w:basedOn w:val="1"/>
    <w:link w:val="18"/>
    <w:semiHidden/>
    <w:unhideWhenUsed/>
    <w:qFormat/>
    <w:uiPriority w:val="99"/>
    <w:pPr>
      <w:spacing w:after="0"/>
    </w:pPr>
    <w:rPr>
      <w:rFonts w:ascii="Segoe UI" w:hAnsi="Segoe UI" w:cs="Segoe UI"/>
      <w:sz w:val="18"/>
      <w:szCs w:val="18"/>
    </w:rPr>
  </w:style>
  <w:style w:type="paragraph" w:styleId="5">
    <w:name w:val="footer"/>
    <w:basedOn w:val="1"/>
    <w:link w:val="13"/>
    <w:unhideWhenUsed/>
    <w:uiPriority w:val="99"/>
    <w:pPr>
      <w:tabs>
        <w:tab w:val="center" w:pos="4153"/>
        <w:tab w:val="right" w:pos="8306"/>
      </w:tabs>
      <w:spacing w:after="0"/>
      <w:jc w:val="left"/>
    </w:pPr>
    <w:rPr>
      <w:rFonts w:eastAsiaTheme="minorEastAsia"/>
      <w:sz w:val="16"/>
      <w:szCs w:val="22"/>
      <w:lang w:bidi="ar-SA"/>
    </w:rPr>
  </w:style>
  <w:style w:type="paragraph" w:styleId="6">
    <w:name w:val="header"/>
    <w:basedOn w:val="1"/>
    <w:link w:val="12"/>
    <w:unhideWhenUsed/>
    <w:uiPriority w:val="99"/>
    <w:pPr>
      <w:tabs>
        <w:tab w:val="center" w:pos="4153"/>
        <w:tab w:val="right" w:pos="8306"/>
      </w:tabs>
      <w:spacing w:after="0"/>
      <w:jc w:val="left"/>
    </w:pPr>
    <w:rPr>
      <w:rFonts w:asciiTheme="minorHAnsi" w:hAnsiTheme="minorHAnsi" w:eastAsiaTheme="minorEastAsia" w:cstheme="minorBidi"/>
      <w:sz w:val="22"/>
      <w:szCs w:val="22"/>
      <w:lang w:bidi="ar-SA"/>
    </w:rPr>
  </w:style>
  <w:style w:type="paragraph" w:styleId="7">
    <w:name w:val="Body Text 2"/>
    <w:basedOn w:val="1"/>
    <w:link w:val="19"/>
    <w:semiHidden/>
    <w:unhideWhenUsed/>
    <w:qFormat/>
    <w:uiPriority w:val="99"/>
    <w:pPr>
      <w:spacing w:after="120" w:line="480" w:lineRule="auto"/>
    </w:pPr>
  </w:style>
  <w:style w:type="character" w:styleId="9">
    <w:name w:val="page number"/>
    <w:basedOn w:val="8"/>
    <w:semiHidden/>
    <w:unhideWhenUsed/>
    <w:qFormat/>
    <w:uiPriority w:val="99"/>
    <w:rPr>
      <w:rFonts w:ascii="Times New Roman" w:hAnsi="Times New Roman" w:cs="Times New Roman"/>
      <w:sz w:val="24"/>
    </w:rPr>
  </w:style>
  <w:style w:type="character" w:styleId="10">
    <w:name w:val="Hyperlink"/>
    <w:qFormat/>
    <w:uiPriority w:val="99"/>
    <w:rPr>
      <w:color w:val="0000FF"/>
      <w:u w:val="single"/>
    </w:rPr>
  </w:style>
  <w:style w:type="character" w:customStyle="1" w:styleId="12">
    <w:name w:val="Header Char"/>
    <w:basedOn w:val="8"/>
    <w:link w:val="6"/>
    <w:uiPriority w:val="99"/>
  </w:style>
  <w:style w:type="character" w:customStyle="1" w:styleId="13">
    <w:name w:val="Footer Char"/>
    <w:basedOn w:val="8"/>
    <w:link w:val="5"/>
    <w:qFormat/>
    <w:uiPriority w:val="99"/>
    <w:rPr>
      <w:rFonts w:ascii="Times New Roman" w:hAnsi="Times New Roman" w:cs="Times New Roman"/>
      <w:sz w:val="16"/>
    </w:rPr>
  </w:style>
  <w:style w:type="character" w:customStyle="1" w:styleId="14">
    <w:name w:val="Body Text Char"/>
    <w:basedOn w:val="8"/>
    <w:link w:val="3"/>
    <w:qFormat/>
    <w:uiPriority w:val="0"/>
    <w:rPr>
      <w:rFonts w:ascii="Times New Roman" w:hAnsi="Times New Roman" w:eastAsia="宋体" w:cs="Simplified Arabic"/>
      <w:sz w:val="24"/>
      <w:szCs w:val="24"/>
      <w:lang w:val="zh-CN" w:eastAsia="en-GB" w:bidi="ar-AE"/>
    </w:rPr>
  </w:style>
  <w:style w:type="paragraph" w:customStyle="1" w:styleId="15">
    <w:name w:val="Footer Right"/>
    <w:basedOn w:val="5"/>
    <w:link w:val="16"/>
    <w:uiPriority w:val="0"/>
    <w:pPr>
      <w:spacing w:line="440" w:lineRule="exact"/>
      <w:jc w:val="right"/>
    </w:pPr>
    <w:rPr>
      <w:szCs w:val="28"/>
    </w:rPr>
  </w:style>
  <w:style w:type="character" w:customStyle="1" w:styleId="16">
    <w:name w:val="Footer Right Char"/>
    <w:basedOn w:val="8"/>
    <w:link w:val="15"/>
    <w:qFormat/>
    <w:uiPriority w:val="0"/>
    <w:rPr>
      <w:rFonts w:ascii="Times New Roman" w:hAnsi="Times New Roman" w:cs="Times New Roman"/>
      <w:sz w:val="16"/>
      <w:szCs w:val="28"/>
    </w:rPr>
  </w:style>
  <w:style w:type="character" w:customStyle="1" w:styleId="17">
    <w:name w:val="Unresolved Mention"/>
    <w:basedOn w:val="8"/>
    <w:semiHidden/>
    <w:unhideWhenUsed/>
    <w:qFormat/>
    <w:uiPriority w:val="99"/>
    <w:rPr>
      <w:color w:val="808080"/>
      <w:shd w:val="clear" w:color="auto" w:fill="E6E6E6"/>
    </w:rPr>
  </w:style>
  <w:style w:type="character" w:customStyle="1" w:styleId="18">
    <w:name w:val="Balloon Text Char"/>
    <w:basedOn w:val="8"/>
    <w:link w:val="4"/>
    <w:semiHidden/>
    <w:qFormat/>
    <w:uiPriority w:val="99"/>
    <w:rPr>
      <w:rFonts w:ascii="Segoe UI" w:hAnsi="Segoe UI" w:eastAsia="宋体" w:cs="Segoe UI"/>
      <w:sz w:val="18"/>
      <w:szCs w:val="18"/>
      <w:lang w:bidi="ar-AE"/>
    </w:rPr>
  </w:style>
  <w:style w:type="character" w:customStyle="1" w:styleId="19">
    <w:name w:val="Body Text 2 Char"/>
    <w:basedOn w:val="8"/>
    <w:link w:val="7"/>
    <w:semiHidden/>
    <w:qFormat/>
    <w:uiPriority w:val="99"/>
    <w:rPr>
      <w:rFonts w:ascii="Times New Roman" w:hAnsi="Times New Roman" w:eastAsia="宋体" w:cs="Times New Roman"/>
      <w:sz w:val="24"/>
      <w:szCs w:val="24"/>
      <w:lang w:bidi="ar-AE"/>
    </w:rPr>
  </w:style>
  <w:style w:type="paragraph" w:customStyle="1" w:styleId="20">
    <w:name w:val="General 3 L9"/>
    <w:basedOn w:val="1"/>
    <w:qFormat/>
    <w:uiPriority w:val="0"/>
    <w:pPr>
      <w:numPr>
        <w:ilvl w:val="8"/>
        <w:numId w:val="1"/>
      </w:numPr>
      <w:outlineLvl w:val="8"/>
    </w:pPr>
    <w:rPr>
      <w:rFonts w:cs="Simplified Arabic"/>
      <w:bCs/>
    </w:rPr>
  </w:style>
  <w:style w:type="paragraph" w:customStyle="1" w:styleId="21">
    <w:name w:val="General 3 L8"/>
    <w:basedOn w:val="1"/>
    <w:qFormat/>
    <w:uiPriority w:val="0"/>
    <w:pPr>
      <w:numPr>
        <w:ilvl w:val="7"/>
        <w:numId w:val="1"/>
      </w:numPr>
      <w:outlineLvl w:val="7"/>
    </w:pPr>
    <w:rPr>
      <w:rFonts w:cs="Simplified Arabic"/>
      <w:bCs/>
    </w:rPr>
  </w:style>
  <w:style w:type="paragraph" w:customStyle="1" w:styleId="22">
    <w:name w:val="General 3 L7"/>
    <w:basedOn w:val="1"/>
    <w:qFormat/>
    <w:uiPriority w:val="0"/>
    <w:pPr>
      <w:numPr>
        <w:ilvl w:val="6"/>
        <w:numId w:val="1"/>
      </w:numPr>
      <w:outlineLvl w:val="6"/>
    </w:pPr>
    <w:rPr>
      <w:rFonts w:cs="Simplified Arabic"/>
      <w:bCs/>
    </w:rPr>
  </w:style>
  <w:style w:type="paragraph" w:customStyle="1" w:styleId="23">
    <w:name w:val="General 3 L6"/>
    <w:basedOn w:val="1"/>
    <w:qFormat/>
    <w:uiPriority w:val="0"/>
    <w:pPr>
      <w:numPr>
        <w:ilvl w:val="5"/>
        <w:numId w:val="1"/>
      </w:numPr>
      <w:outlineLvl w:val="5"/>
    </w:pPr>
    <w:rPr>
      <w:rFonts w:cs="Simplified Arabic"/>
      <w:bCs/>
    </w:rPr>
  </w:style>
  <w:style w:type="paragraph" w:customStyle="1" w:styleId="24">
    <w:name w:val="General 3 L5"/>
    <w:basedOn w:val="1"/>
    <w:next w:val="1"/>
    <w:qFormat/>
    <w:uiPriority w:val="0"/>
    <w:pPr>
      <w:numPr>
        <w:ilvl w:val="4"/>
        <w:numId w:val="1"/>
      </w:numPr>
      <w:outlineLvl w:val="4"/>
    </w:pPr>
    <w:rPr>
      <w:rFonts w:cs="Simplified Arabic"/>
      <w:bCs/>
    </w:rPr>
  </w:style>
  <w:style w:type="paragraph" w:customStyle="1" w:styleId="25">
    <w:name w:val="General 3 L4"/>
    <w:basedOn w:val="1"/>
    <w:next w:val="2"/>
    <w:qFormat/>
    <w:uiPriority w:val="0"/>
    <w:pPr>
      <w:numPr>
        <w:ilvl w:val="3"/>
        <w:numId w:val="1"/>
      </w:numPr>
      <w:outlineLvl w:val="3"/>
    </w:pPr>
    <w:rPr>
      <w:rFonts w:cs="Simplified Arabic"/>
      <w:bCs/>
    </w:rPr>
  </w:style>
  <w:style w:type="paragraph" w:customStyle="1" w:styleId="26">
    <w:name w:val="General 3 L3"/>
    <w:basedOn w:val="1"/>
    <w:next w:val="7"/>
    <w:qFormat/>
    <w:uiPriority w:val="0"/>
    <w:pPr>
      <w:numPr>
        <w:ilvl w:val="2"/>
        <w:numId w:val="1"/>
      </w:numPr>
      <w:outlineLvl w:val="2"/>
    </w:pPr>
    <w:rPr>
      <w:rFonts w:cs="Simplified Arabic"/>
      <w:bCs/>
    </w:rPr>
  </w:style>
  <w:style w:type="paragraph" w:customStyle="1" w:styleId="27">
    <w:name w:val="General 3 L2"/>
    <w:basedOn w:val="1"/>
    <w:next w:val="1"/>
    <w:qFormat/>
    <w:uiPriority w:val="0"/>
    <w:pPr>
      <w:numPr>
        <w:ilvl w:val="1"/>
        <w:numId w:val="1"/>
      </w:numPr>
      <w:outlineLvl w:val="1"/>
    </w:pPr>
    <w:rPr>
      <w:rFonts w:cs="Simplified Arabic"/>
      <w:bCs/>
    </w:rPr>
  </w:style>
  <w:style w:type="paragraph" w:customStyle="1" w:styleId="28">
    <w:name w:val="General 3 L1"/>
    <w:basedOn w:val="1"/>
    <w:next w:val="1"/>
    <w:qFormat/>
    <w:uiPriority w:val="0"/>
    <w:pPr>
      <w:numPr>
        <w:ilvl w:val="0"/>
        <w:numId w:val="1"/>
      </w:numPr>
      <w:outlineLvl w:val="0"/>
    </w:pPr>
    <w:rPr>
      <w:rFonts w:cs="Simplified Arabic"/>
      <w:bCs/>
    </w:rPr>
  </w:style>
  <w:style w:type="character" w:customStyle="1" w:styleId="29">
    <w:name w:val="Body Text 3 Char"/>
    <w:basedOn w:val="8"/>
    <w:link w:val="2"/>
    <w:semiHidden/>
    <w:qFormat/>
    <w:uiPriority w:val="99"/>
    <w:rPr>
      <w:rFonts w:ascii="Times New Roman" w:hAnsi="Times New Roman" w:eastAsia="宋体" w:cs="Times New Roman"/>
      <w:sz w:val="16"/>
      <w:szCs w:val="16"/>
      <w:lang w:bidi="ar-AE"/>
    </w:rPr>
  </w:style>
  <w:style w:type="paragraph" w:customStyle="1" w:styleId="30">
    <w:name w:val="Revision"/>
    <w:hidden/>
    <w:semiHidden/>
    <w:qFormat/>
    <w:uiPriority w:val="99"/>
    <w:pPr>
      <w:spacing w:after="0" w:line="240" w:lineRule="auto"/>
    </w:pPr>
    <w:rPr>
      <w:rFonts w:ascii="Times New Roman" w:hAnsi="Times New Roman" w:eastAsia="宋体" w:cs="Times New Roman"/>
      <w:sz w:val="24"/>
      <w:szCs w:val="24"/>
      <w:lang w:val="en-GB" w:eastAsia="zh-CN" w:bidi="ar-AE"/>
    </w:rPr>
  </w:style>
</w:styles>
</file>

<file path=word/_rels/document.xml.rels><?xml version="1.0" encoding="UTF-8" standalone="yes"?>
<Relationships xmlns="http://schemas.openxmlformats.org/package/2006/relationships"><Relationship Id="rId9" Type="http://schemas.openxmlformats.org/officeDocument/2006/relationships/theme" Target="theme/theme1.xml"/><Relationship Id="rId8" Type="http://schemas.openxmlformats.org/officeDocument/2006/relationships/footer" Target="footer3.xml"/><Relationship Id="rId7" Type="http://schemas.openxmlformats.org/officeDocument/2006/relationships/footer" Target="footer2.xml"/><Relationship Id="rId6" Type="http://schemas.openxmlformats.org/officeDocument/2006/relationships/footer" Target="footer1.xml"/><Relationship Id="rId5" Type="http://schemas.openxmlformats.org/officeDocument/2006/relationships/header" Target="header3.xml"/><Relationship Id="rId4" Type="http://schemas.openxmlformats.org/officeDocument/2006/relationships/header" Target="header2.xml"/><Relationship Id="rId3" Type="http://schemas.openxmlformats.org/officeDocument/2006/relationships/header" Target="header1.xml"/><Relationship Id="rId2" Type="http://schemas.openxmlformats.org/officeDocument/2006/relationships/settings" Target="settings.xml"/><Relationship Id="rId12" Type="http://schemas.openxmlformats.org/officeDocument/2006/relationships/fontTable" Target="fontTable.xml"/><Relationship Id="rId11" Type="http://schemas.openxmlformats.org/officeDocument/2006/relationships/numbering" Target="numbering.xml"/><Relationship Id="rId10" Type="http://schemas.openxmlformats.org/officeDocument/2006/relationships/customXml" Target="../customXml/item1.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otalTime>0</TotalTime>
  <ScaleCrop>false</ScaleCrop>
  <LinksUpToDate>false</LinksUpToDate>
  <Application>WPS Office_10.8.2.7129_F1E327BC-269C-435d-A152-05C5408002CA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2020-11-20T04:49:11Z</dcterms:created>
  <dc:creator>chenmei</dc:creator>
  <cp:lastModifiedBy>陈媚</cp:lastModifiedBy>
  <dcterms:modified xsi:type="dcterms:W3CDTF">2020-11-20T04:49:26Z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2052-10.8.2.7129</vt:lpwstr>
  </property>
</Properties>
</file>