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0A992" w14:textId="77777777" w:rsidR="00094095" w:rsidRPr="00BC25CC" w:rsidRDefault="00094095" w:rsidP="00094095">
      <w:pPr>
        <w:spacing w:line="440" w:lineRule="exact"/>
        <w:jc w:val="center"/>
        <w:rPr>
          <w:rFonts w:ascii="Arial" w:eastAsia="SimHei" w:hAnsi="Arial" w:cs="Arial"/>
          <w:sz w:val="30"/>
          <w:szCs w:val="30"/>
        </w:rPr>
      </w:pPr>
      <w:r w:rsidRPr="00BC25CC">
        <w:rPr>
          <w:rFonts w:ascii="Arial" w:eastAsia="SimHei" w:hAnsi="Arial" w:cs="Arial"/>
          <w:sz w:val="30"/>
          <w:szCs w:val="30"/>
        </w:rPr>
        <w:t>经营者集中简易案件公示表</w:t>
      </w:r>
    </w:p>
    <w:p w14:paraId="3AE63130" w14:textId="77777777" w:rsidR="00094095" w:rsidRPr="00BC25CC" w:rsidRDefault="00094095" w:rsidP="00094095">
      <w:pPr>
        <w:spacing w:line="440" w:lineRule="exact"/>
        <w:rPr>
          <w:rFonts w:ascii="Arial" w:eastAsia="SimHei" w:hAnsi="Arial" w:cs="Arial"/>
          <w:sz w:val="28"/>
          <w:szCs w:val="28"/>
        </w:rPr>
      </w:pPr>
    </w:p>
    <w:p w14:paraId="2BF9CE8A" w14:textId="77777777" w:rsidR="00094095" w:rsidRPr="00BC25CC" w:rsidRDefault="00094095" w:rsidP="00094095">
      <w:pPr>
        <w:spacing w:line="440" w:lineRule="exact"/>
        <w:ind w:firstLineChars="302" w:firstLine="846"/>
        <w:rPr>
          <w:rFonts w:ascii="Arial" w:eastAsia="FangSong_GB2312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BC25CC" w14:paraId="4CCA32A0" w14:textId="77777777" w:rsidTr="002F2D60">
        <w:tc>
          <w:tcPr>
            <w:tcW w:w="1809" w:type="dxa"/>
            <w:shd w:val="clear" w:color="auto" w:fill="D9D9D9"/>
          </w:tcPr>
          <w:p w14:paraId="29753E47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1E301D6" w14:textId="03771876" w:rsidR="00094095" w:rsidRPr="00BC25CC" w:rsidRDefault="005D4D3E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加拿大公共部门养老金投资委员会与英杰华</w:t>
            </w:r>
            <w:r w:rsidR="00F65523" w:rsidRPr="00BC25CC">
              <w:rPr>
                <w:rFonts w:ascii="Arial" w:eastAsia="FangSong_GB2312" w:hAnsi="Arial" w:cs="Arial"/>
                <w:sz w:val="28"/>
                <w:szCs w:val="28"/>
              </w:rPr>
              <w:t>永久资本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有限公司新设合营企业案</w:t>
            </w:r>
          </w:p>
        </w:tc>
      </w:tr>
      <w:tr w:rsidR="00094095" w:rsidRPr="00BC25CC" w14:paraId="674C4319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040513B2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交易概况（限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200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51D158E6" w14:textId="662B8410" w:rsidR="00094095" w:rsidRPr="00BC25CC" w:rsidRDefault="005D4D3E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本交易涉及</w:t>
            </w:r>
            <w:r w:rsidR="00024AA8" w:rsidRPr="00BC25CC">
              <w:rPr>
                <w:rFonts w:ascii="Arial" w:eastAsia="FangSong_GB2312" w:hAnsi="Arial" w:cs="Arial"/>
                <w:sz w:val="28"/>
                <w:szCs w:val="28"/>
              </w:rPr>
              <w:t>设立一家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由加拿大公共部门养老金投资委员会</w:t>
            </w:r>
            <w:r w:rsidR="00BC25CC">
              <w:rPr>
                <w:rFonts w:ascii="Arial" w:eastAsia="FangSong_GB2312" w:hAnsi="Arial" w:cs="Arial" w:hint="eastAsia"/>
                <w:sz w:val="28"/>
                <w:szCs w:val="28"/>
              </w:rPr>
              <w:t>（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“</w:t>
            </w:r>
            <w:r w:rsidR="00F25048" w:rsidRPr="00BC25CC">
              <w:rPr>
                <w:rFonts w:ascii="Arial" w:eastAsia="FangSong_GB2312" w:hAnsi="Arial" w:cs="Arial"/>
                <w:b/>
                <w:sz w:val="28"/>
                <w:szCs w:val="28"/>
              </w:rPr>
              <w:t>PSPIB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”</w:t>
            </w:r>
            <w:r w:rsidR="00BC25CC">
              <w:rPr>
                <w:rFonts w:ascii="Arial" w:eastAsia="FangSong_GB2312" w:hAnsi="Arial" w:cs="Arial" w:hint="eastAsia"/>
                <w:sz w:val="28"/>
                <w:szCs w:val="28"/>
              </w:rPr>
              <w:t>）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和英杰华永久资本有限公司</w:t>
            </w:r>
            <w:r w:rsidR="00BC25CC">
              <w:rPr>
                <w:rFonts w:ascii="Arial" w:eastAsia="FangSong_GB2312" w:hAnsi="Arial" w:cs="Arial" w:hint="eastAsia"/>
                <w:sz w:val="28"/>
                <w:szCs w:val="28"/>
              </w:rPr>
              <w:t>（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“</w:t>
            </w:r>
            <w:r w:rsidR="00F25048" w:rsidRPr="00BC25CC">
              <w:rPr>
                <w:rFonts w:ascii="Arial" w:eastAsia="FangSong_GB2312" w:hAnsi="Arial" w:cs="Arial"/>
                <w:b/>
                <w:sz w:val="28"/>
                <w:szCs w:val="28"/>
              </w:rPr>
              <w:t>英杰华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”</w:t>
            </w:r>
            <w:r w:rsidR="00BC25CC">
              <w:rPr>
                <w:rFonts w:ascii="Arial" w:eastAsia="FangSong_GB2312" w:hAnsi="Arial" w:cs="Arial" w:hint="eastAsia"/>
                <w:sz w:val="28"/>
                <w:szCs w:val="28"/>
              </w:rPr>
              <w:t>）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共同控制的</w:t>
            </w:r>
            <w:r w:rsidR="00024AA8" w:rsidRPr="00BC25CC">
              <w:rPr>
                <w:rFonts w:ascii="Arial" w:eastAsia="FangSong_GB2312" w:hAnsi="Arial" w:cs="Arial"/>
                <w:sz w:val="28"/>
                <w:szCs w:val="28"/>
              </w:rPr>
              <w:t>合营企业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（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“</w:t>
            </w:r>
            <w:r w:rsidR="00F25048" w:rsidRPr="00BC25CC">
              <w:rPr>
                <w:rFonts w:ascii="Arial" w:eastAsia="FangSong_GB2312" w:hAnsi="Arial" w:cs="Arial"/>
                <w:b/>
                <w:bCs/>
                <w:sz w:val="28"/>
                <w:szCs w:val="28"/>
              </w:rPr>
              <w:t>本交易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”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。该合营企业在</w:t>
            </w:r>
            <w:r w:rsidR="00F25048" w:rsidRPr="00BC25CC">
              <w:rPr>
                <w:rFonts w:ascii="Arial" w:eastAsia="FangSong_GB2312" w:hAnsi="Arial" w:cs="Arial"/>
                <w:sz w:val="28"/>
                <w:szCs w:val="28"/>
              </w:rPr>
              <w:t>设立之后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将作为在英国</w:t>
            </w:r>
            <w:r w:rsidR="00F65523" w:rsidRPr="00BC25CC">
              <w:rPr>
                <w:rFonts w:ascii="Arial" w:eastAsia="FangSong_GB2312" w:hAnsi="Arial" w:cs="Arial"/>
                <w:sz w:val="28"/>
                <w:szCs w:val="28"/>
              </w:rPr>
              <w:t>伦敦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收购</w:t>
            </w:r>
            <w:r w:rsidR="002D5B9E">
              <w:rPr>
                <w:rFonts w:ascii="Arial" w:eastAsia="FangSong_GB2312" w:hAnsi="Arial" w:cs="Arial" w:hint="eastAsia"/>
                <w:sz w:val="28"/>
                <w:szCs w:val="28"/>
              </w:rPr>
              <w:t>和运营特定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房地产资产的投资平台。</w:t>
            </w:r>
          </w:p>
        </w:tc>
      </w:tr>
      <w:tr w:rsidR="00094095" w:rsidRPr="00BC25CC" w14:paraId="5180120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3B70439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F29FF5C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1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、</w:t>
            </w:r>
            <w:r w:rsidR="005D4D3E" w:rsidRPr="00BC25CC">
              <w:rPr>
                <w:rFonts w:ascii="Arial" w:eastAsia="FangSong_GB2312" w:hAnsi="Arial" w:cs="Arial"/>
                <w:sz w:val="28"/>
                <w:szCs w:val="28"/>
              </w:rPr>
              <w:t>PSPIB</w:t>
            </w:r>
          </w:p>
        </w:tc>
        <w:tc>
          <w:tcPr>
            <w:tcW w:w="5153" w:type="dxa"/>
          </w:tcPr>
          <w:p w14:paraId="1936419E" w14:textId="77777777" w:rsidR="00094095" w:rsidRPr="00BC25CC" w:rsidRDefault="005D4D3E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PSPIB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是一家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1999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年由加拿大国会设立的加拿大皇家公司。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PSPIB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在全球范围内管理着多样化的投资组合，包括股票，债券和其他固定收益证券，以及私募股权、房地产、基础设施、自然资源和私人债务。</w:t>
            </w:r>
          </w:p>
        </w:tc>
      </w:tr>
      <w:tr w:rsidR="00094095" w:rsidRPr="00BC25CC" w14:paraId="4BFA00E8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9408942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BDE8655" w14:textId="09F0D5B5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2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、</w:t>
            </w:r>
            <w:r w:rsidR="005D4D3E" w:rsidRPr="00BC25CC">
              <w:rPr>
                <w:rFonts w:ascii="Arial" w:eastAsia="FangSong_GB2312" w:hAnsi="Arial" w:cs="Arial"/>
                <w:sz w:val="28"/>
                <w:szCs w:val="28"/>
              </w:rPr>
              <w:t>英杰华</w:t>
            </w:r>
          </w:p>
        </w:tc>
        <w:tc>
          <w:tcPr>
            <w:tcW w:w="5153" w:type="dxa"/>
          </w:tcPr>
          <w:p w14:paraId="22D47785" w14:textId="1EE0D392" w:rsidR="00094095" w:rsidRPr="00BC25CC" w:rsidRDefault="005D4D3E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英杰华</w:t>
            </w:r>
            <w:r w:rsidR="00785ECC" w:rsidRPr="00BC25CC">
              <w:rPr>
                <w:rFonts w:ascii="Arial" w:eastAsia="FangSong_GB2312" w:hAnsi="Arial" w:cs="Arial"/>
                <w:sz w:val="28"/>
                <w:szCs w:val="28"/>
              </w:rPr>
              <w:t>永久资本有限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公司是英杰华公开有限公司（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Aviva plc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）的一家全资子公司。英杰华</w:t>
            </w:r>
            <w:r w:rsidR="00FE787E" w:rsidRPr="00BC25CC">
              <w:rPr>
                <w:rFonts w:ascii="Arial" w:eastAsia="FangSong_GB2312" w:hAnsi="Arial" w:cs="Arial"/>
                <w:sz w:val="28"/>
                <w:szCs w:val="28"/>
              </w:rPr>
              <w:t>公开有限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公司是一家在英国设立、经营保险业务的上市公司。英杰华</w:t>
            </w:r>
            <w:r w:rsidR="00FE787E" w:rsidRPr="00BC25CC">
              <w:rPr>
                <w:rFonts w:ascii="Arial" w:eastAsia="FangSong_GB2312" w:hAnsi="Arial" w:cs="Arial"/>
                <w:sz w:val="28"/>
                <w:szCs w:val="28"/>
              </w:rPr>
              <w:t>公开有限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公司在伦敦证券交易所主板市场上市，在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1</w:t>
            </w:r>
            <w:r w:rsidR="00785ECC" w:rsidRPr="00BC25CC">
              <w:rPr>
                <w:rFonts w:ascii="Arial" w:eastAsia="FangSong_GB2312" w:hAnsi="Arial" w:cs="Arial"/>
                <w:sz w:val="28"/>
                <w:szCs w:val="28"/>
              </w:rPr>
              <w:t>6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个国家提供保险、储蓄和投资等类别产品，主要在英国、法国、加</w:t>
            </w:r>
            <w:bookmarkStart w:id="0" w:name="_GoBack"/>
            <w:bookmarkEnd w:id="0"/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拿大三国开展业务，但在欧洲其他地区和亚洲也有业务。</w:t>
            </w:r>
          </w:p>
        </w:tc>
      </w:tr>
      <w:tr w:rsidR="00094095" w:rsidRPr="00BC25CC" w14:paraId="3B8D25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5101AB15" w14:textId="77777777" w:rsidR="00094095" w:rsidRPr="00BC25CC" w:rsidRDefault="00094095" w:rsidP="00BB2377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简易案件理由（</w:t>
            </w:r>
            <w:r w:rsidR="005F167B" w:rsidRPr="00BC25CC">
              <w:rPr>
                <w:rFonts w:ascii="Arial" w:eastAsia="FangSong_GB2312" w:hAnsi="Arial" w:cs="Arial"/>
                <w:sz w:val="28"/>
                <w:szCs w:val="28"/>
              </w:rPr>
              <w:t>可以单选，也可以多</w:t>
            </w:r>
            <w:r w:rsidR="005F167B" w:rsidRPr="00BC25CC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选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480D268F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□1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15%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5127528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0DCBD49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F5669D8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□2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、存在上下游关系的参与集中的经营者，在上下游市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场所占的市场份额均小于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6E07A90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6C9583FE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F592A5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□3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4A268EEC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6EBFFEE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6C62282" w14:textId="77777777" w:rsidR="00094095" w:rsidRPr="00BC25CC" w:rsidRDefault="005D4D3E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" w:hAnsi="Arial" w:cs="Arial"/>
                <w:sz w:val="32"/>
                <w:szCs w:val="21"/>
              </w:rPr>
              <w:sym w:font="Wingdings" w:char="F0FE"/>
            </w:r>
            <w:r w:rsidR="00094095" w:rsidRPr="00BC25CC">
              <w:rPr>
                <w:rFonts w:ascii="Arial" w:eastAsia="FangSong_GB2312" w:hAnsi="Arial" w:cs="Arial"/>
                <w:sz w:val="28"/>
                <w:szCs w:val="28"/>
              </w:rPr>
              <w:t>4</w:t>
            </w:r>
            <w:r w:rsidR="00094095" w:rsidRPr="00BC25CC">
              <w:rPr>
                <w:rFonts w:ascii="Arial" w:eastAsia="FangSong_GB2312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BC25CC" w14:paraId="11D487F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5C854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231B21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□5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BC25CC" w14:paraId="15E6EEA6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1702948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6EC64E1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□6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BC25CC" w14:paraId="5F194006" w14:textId="77777777" w:rsidTr="002F2D60">
        <w:tc>
          <w:tcPr>
            <w:tcW w:w="1809" w:type="dxa"/>
            <w:shd w:val="clear" w:color="auto" w:fill="D9D9D9"/>
          </w:tcPr>
          <w:p w14:paraId="575E00CA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4C511ED9" w14:textId="77777777" w:rsidR="00094095" w:rsidRPr="00BC25CC" w:rsidRDefault="005D4D3E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不适用</w:t>
            </w:r>
          </w:p>
        </w:tc>
      </w:tr>
    </w:tbl>
    <w:p w14:paraId="66BA142C" w14:textId="77777777" w:rsidR="00BB2377" w:rsidRPr="00BC25CC" w:rsidRDefault="00BB2377" w:rsidP="00BB2377">
      <w:pPr>
        <w:snapToGrid w:val="0"/>
        <w:spacing w:line="240" w:lineRule="exact"/>
        <w:jc w:val="left"/>
        <w:rPr>
          <w:rFonts w:ascii="Arial" w:eastAsia="KaiTi_GB2312" w:hAnsi="Arial" w:cs="Arial"/>
          <w:sz w:val="24"/>
          <w:szCs w:val="24"/>
        </w:rPr>
      </w:pPr>
    </w:p>
    <w:p w14:paraId="0BA4CEB4" w14:textId="77777777" w:rsidR="005F167B" w:rsidRPr="00BC25CC" w:rsidRDefault="005F167B" w:rsidP="00BB2377">
      <w:pPr>
        <w:snapToGrid w:val="0"/>
        <w:spacing w:line="240" w:lineRule="exact"/>
        <w:jc w:val="left"/>
        <w:rPr>
          <w:rFonts w:ascii="Arial" w:eastAsia="KaiTi_GB2312" w:hAnsi="Arial" w:cs="Arial"/>
          <w:sz w:val="24"/>
          <w:szCs w:val="24"/>
        </w:rPr>
      </w:pPr>
      <w:r w:rsidRPr="00BC25CC">
        <w:rPr>
          <w:rFonts w:ascii="Arial" w:eastAsia="KaiTi_GB2312" w:hAnsi="Arial" w:cs="Arial"/>
          <w:sz w:val="24"/>
          <w:szCs w:val="24"/>
        </w:rPr>
        <w:t>注解：</w:t>
      </w:r>
    </w:p>
    <w:p w14:paraId="4C9A8663" w14:textId="77777777" w:rsidR="005F167B" w:rsidRPr="00BC25CC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Arial" w:eastAsia="KaiTi_GB2312" w:hAnsi="Arial" w:cs="Arial"/>
          <w:sz w:val="24"/>
          <w:szCs w:val="24"/>
        </w:rPr>
      </w:pPr>
      <w:r w:rsidRPr="00BC25CC">
        <w:rPr>
          <w:rFonts w:ascii="Arial" w:eastAsia="KaiTi_GB2312" w:hAnsi="Arial" w:cs="Arial"/>
          <w:sz w:val="24"/>
          <w:szCs w:val="24"/>
        </w:rPr>
        <w:t>1</w:t>
      </w:r>
      <w:r w:rsidRPr="00BC25CC">
        <w:rPr>
          <w:rFonts w:ascii="Arial" w:eastAsia="KaiTi_GB2312" w:hAnsi="Arial" w:cs="Arial"/>
          <w:sz w:val="24"/>
          <w:szCs w:val="24"/>
        </w:rPr>
        <w:t>、申报方申请简易案件的理由是基于</w:t>
      </w:r>
      <w:r w:rsidRPr="00BC25CC">
        <w:rPr>
          <w:rFonts w:ascii="Arial" w:eastAsia="KaiTi_GB2312" w:hAnsi="Arial" w:cs="Arial"/>
          <w:sz w:val="24"/>
          <w:szCs w:val="24"/>
        </w:rPr>
        <w:t>1-3</w:t>
      </w:r>
      <w:r w:rsidRPr="00BC25CC">
        <w:rPr>
          <w:rFonts w:ascii="Arial" w:eastAsia="KaiTi_GB2312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C25CC">
        <w:rPr>
          <w:rFonts w:ascii="Arial" w:eastAsia="KaiTi_GB2312" w:hAnsi="Arial" w:cs="Arial"/>
          <w:sz w:val="24"/>
          <w:szCs w:val="24"/>
        </w:rPr>
        <w:t>5%</w:t>
      </w:r>
      <w:r w:rsidRPr="00BC25CC">
        <w:rPr>
          <w:rFonts w:ascii="Arial" w:eastAsia="KaiTi_GB2312" w:hAnsi="Arial" w:cs="Arial"/>
          <w:sz w:val="24"/>
          <w:szCs w:val="24"/>
        </w:rPr>
        <w:t>。</w:t>
      </w:r>
      <w:r w:rsidRPr="00BC25CC">
        <w:rPr>
          <w:rFonts w:ascii="Arial" w:eastAsia="KaiTi_GB2312" w:hAnsi="Arial" w:cs="Arial"/>
          <w:sz w:val="24"/>
          <w:szCs w:val="24"/>
        </w:rPr>
        <w:t>1-3</w:t>
      </w:r>
      <w:r w:rsidRPr="00BC25CC">
        <w:rPr>
          <w:rFonts w:ascii="Arial" w:eastAsia="KaiTi_GB2312" w:hAnsi="Arial" w:cs="Arial"/>
          <w:sz w:val="24"/>
          <w:szCs w:val="24"/>
        </w:rPr>
        <w:t>项可以多选，也可单选；没有勾选的，视为本集中不涉及该类型交易。</w:t>
      </w:r>
    </w:p>
    <w:p w14:paraId="5F226A3E" w14:textId="77777777" w:rsidR="00094095" w:rsidRPr="00BC25CC" w:rsidRDefault="005F167B" w:rsidP="00BB2377">
      <w:pPr>
        <w:spacing w:line="360" w:lineRule="auto"/>
        <w:ind w:firstLineChars="200" w:firstLine="480"/>
        <w:rPr>
          <w:rFonts w:ascii="Arial" w:eastAsia="KaiTi_GB2312" w:hAnsi="Arial" w:cs="Arial"/>
          <w:sz w:val="28"/>
          <w:szCs w:val="28"/>
        </w:rPr>
      </w:pPr>
      <w:r w:rsidRPr="00BC25CC">
        <w:rPr>
          <w:rFonts w:ascii="Arial" w:eastAsia="KaiTi_GB2312" w:hAnsi="Arial" w:cs="Arial"/>
          <w:sz w:val="24"/>
          <w:szCs w:val="24"/>
        </w:rPr>
        <w:t>2</w:t>
      </w:r>
      <w:r w:rsidRPr="00BC25CC">
        <w:rPr>
          <w:rFonts w:ascii="Arial" w:eastAsia="KaiTi_GB2312" w:hAnsi="Arial" w:cs="Arial"/>
          <w:sz w:val="24"/>
          <w:szCs w:val="24"/>
        </w:rPr>
        <w:t>、申报方申请简易案件的理由是基于第</w:t>
      </w:r>
      <w:r w:rsidRPr="00BC25CC">
        <w:rPr>
          <w:rFonts w:ascii="Arial" w:eastAsia="KaiTi_GB2312" w:hAnsi="Arial" w:cs="Arial"/>
          <w:sz w:val="24"/>
          <w:szCs w:val="24"/>
        </w:rPr>
        <w:t>4</w:t>
      </w:r>
      <w:r w:rsidRPr="00BC25CC">
        <w:rPr>
          <w:rFonts w:ascii="Arial" w:eastAsia="KaiTi_GB2312" w:hAnsi="Arial" w:cs="Arial"/>
          <w:sz w:val="24"/>
          <w:szCs w:val="24"/>
        </w:rPr>
        <w:t>项、第</w:t>
      </w:r>
      <w:r w:rsidRPr="00BC25CC">
        <w:rPr>
          <w:rFonts w:ascii="Arial" w:eastAsia="KaiTi_GB2312" w:hAnsi="Arial" w:cs="Arial"/>
          <w:sz w:val="24"/>
          <w:szCs w:val="24"/>
        </w:rPr>
        <w:t>5</w:t>
      </w:r>
      <w:r w:rsidRPr="00BC25CC">
        <w:rPr>
          <w:rFonts w:ascii="Arial" w:eastAsia="KaiTi_GB2312" w:hAnsi="Arial" w:cs="Arial"/>
          <w:sz w:val="24"/>
          <w:szCs w:val="24"/>
        </w:rPr>
        <w:t>项时，无须在备注中说明相关市场和市场份额。</w:t>
      </w:r>
      <w:r w:rsidRPr="00BC25CC">
        <w:rPr>
          <w:rFonts w:ascii="Arial" w:eastAsia="KaiTi_GB2312" w:hAnsi="Arial" w:cs="Arial"/>
          <w:sz w:val="24"/>
          <w:szCs w:val="24"/>
        </w:rPr>
        <w:br/>
        <w:t xml:space="preserve">    3</w:t>
      </w:r>
      <w:r w:rsidRPr="00BC25CC">
        <w:rPr>
          <w:rFonts w:ascii="Arial" w:eastAsia="KaiTi_GB2312" w:hAnsi="Arial" w:cs="Arial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BC25CC">
        <w:rPr>
          <w:rFonts w:ascii="Arial" w:eastAsia="KaiTi_GB2312" w:hAnsi="Arial" w:cs="Arial"/>
          <w:sz w:val="24"/>
          <w:szCs w:val="24"/>
        </w:rPr>
        <w:t>1</w:t>
      </w:r>
      <w:r w:rsidRPr="00BC25CC">
        <w:rPr>
          <w:rFonts w:ascii="Arial" w:eastAsia="KaiTi_GB2312" w:hAnsi="Arial" w:cs="Arial"/>
          <w:sz w:val="24"/>
          <w:szCs w:val="24"/>
        </w:rPr>
        <w:t>项和第</w:t>
      </w:r>
      <w:r w:rsidRPr="00BC25CC">
        <w:rPr>
          <w:rFonts w:ascii="Arial" w:eastAsia="KaiTi_GB2312" w:hAnsi="Arial" w:cs="Arial"/>
          <w:sz w:val="24"/>
          <w:szCs w:val="24"/>
        </w:rPr>
        <w:t>6</w:t>
      </w:r>
      <w:r w:rsidRPr="00BC25CC">
        <w:rPr>
          <w:rFonts w:ascii="Arial" w:eastAsia="KaiTi_GB2312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BC25CC">
        <w:rPr>
          <w:rFonts w:ascii="Arial" w:eastAsia="KaiTi_GB2312" w:hAnsi="Arial" w:cs="Arial"/>
          <w:sz w:val="24"/>
          <w:szCs w:val="24"/>
        </w:rPr>
        <w:t>5%</w:t>
      </w:r>
      <w:r w:rsidRPr="00BC25CC">
        <w:rPr>
          <w:rFonts w:ascii="Arial" w:eastAsia="KaiTi_GB2312" w:hAnsi="Arial" w:cs="Arial"/>
          <w:sz w:val="24"/>
          <w:szCs w:val="24"/>
        </w:rPr>
        <w:t>。</w:t>
      </w:r>
    </w:p>
    <w:p w14:paraId="4652A40A" w14:textId="77777777" w:rsidR="00F87C1F" w:rsidRPr="00BC25CC" w:rsidRDefault="00F87C1F">
      <w:pPr>
        <w:rPr>
          <w:rFonts w:ascii="Arial" w:hAnsi="Arial" w:cs="Arial"/>
        </w:rPr>
      </w:pPr>
    </w:p>
    <w:sectPr w:rsidR="00F87C1F" w:rsidRPr="00BC25C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7732F2" w14:textId="77777777" w:rsidR="0029549A" w:rsidRDefault="0029549A" w:rsidP="00094095">
      <w:r>
        <w:separator/>
      </w:r>
    </w:p>
  </w:endnote>
  <w:endnote w:type="continuationSeparator" w:id="0">
    <w:p w14:paraId="1B458EFF" w14:textId="77777777" w:rsidR="0029549A" w:rsidRDefault="002954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80249" w14:textId="77777777" w:rsidR="0029549A" w:rsidRDefault="0029549A" w:rsidP="00094095">
      <w:r>
        <w:separator/>
      </w:r>
    </w:p>
  </w:footnote>
  <w:footnote w:type="continuationSeparator" w:id="0">
    <w:p w14:paraId="2F6936ED" w14:textId="77777777" w:rsidR="0029549A" w:rsidRDefault="002954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24AA8"/>
    <w:rsid w:val="00094095"/>
    <w:rsid w:val="00245776"/>
    <w:rsid w:val="0029549A"/>
    <w:rsid w:val="002A3524"/>
    <w:rsid w:val="002B6414"/>
    <w:rsid w:val="002D5B9E"/>
    <w:rsid w:val="002F2D60"/>
    <w:rsid w:val="00307976"/>
    <w:rsid w:val="00462174"/>
    <w:rsid w:val="004647D8"/>
    <w:rsid w:val="00574AD1"/>
    <w:rsid w:val="005D4D3E"/>
    <w:rsid w:val="005F167B"/>
    <w:rsid w:val="00785ECC"/>
    <w:rsid w:val="0084563C"/>
    <w:rsid w:val="00AB6C08"/>
    <w:rsid w:val="00B955F5"/>
    <w:rsid w:val="00BA0750"/>
    <w:rsid w:val="00BB2377"/>
    <w:rsid w:val="00BC25CC"/>
    <w:rsid w:val="00C9068E"/>
    <w:rsid w:val="00D21777"/>
    <w:rsid w:val="00E677B7"/>
    <w:rsid w:val="00ED21B1"/>
    <w:rsid w:val="00F25048"/>
    <w:rsid w:val="00F65523"/>
    <w:rsid w:val="00F87C1F"/>
    <w:rsid w:val="00FE7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3"/>
    <o:shapelayout v:ext="edit">
      <o:idmap v:ext="edit" data="1"/>
    </o:shapelayout>
  </w:shapeDefaults>
  <w:decimalSymbol w:val="."/>
  <w:listSeparator w:val=","/>
  <w14:docId w14:val="6AF3932B"/>
  <w15:docId w15:val="{88BB7207-0835-488D-96CB-C8FD040D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2C39D2-8E50-48A9-871D-36E42E0D9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534</Words>
  <Characters>557</Characters>
  <Application>Microsoft Office Word</Application>
  <DocSecurity>0</DocSecurity>
  <Lines>39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12</cp:revision>
  <cp:lastPrinted>2014-10-08T02:48:00Z</cp:lastPrinted>
  <dcterms:created xsi:type="dcterms:W3CDTF">2014-10-08T03:52:00Z</dcterms:created>
  <dcterms:modified xsi:type="dcterms:W3CDTF">2020-11-11T04:13:00Z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ocument Number">
    <vt:lpwstr>A42919847</vt:lpwstr>
  </op:property>
  <op:property fmtid="{D5CDD505-2E9C-101B-9397-08002B2CF9AE}" pid="3" name="Version">
    <vt:lpwstr>0.2</vt:lpwstr>
  </op:property>
  <op:property fmtid="{D5CDD505-2E9C-101B-9397-08002B2CF9AE}" pid="4" name="Last Modified">
    <vt:lpwstr>11 Nov 2020</vt:lpwstr>
  </op:property>
  <op:property fmtid="{D5CDD505-2E9C-101B-9397-08002B2CF9AE}" pid="5" name="Matter Number">
    <vt:lpwstr>L-305031</vt:lpwstr>
  </op:property>
  <op:property fmtid="{D5CDD505-2E9C-101B-9397-08002B2CF9AE}" pid="6" name="Client Code">
    <vt:lpwstr>10651574</vt:lpwstr>
  </op:property>
  <op:property fmtid="{D5CDD505-2E9C-101B-9397-08002B2CF9AE}" pid="7" name="Mode">
    <vt:lpwstr>SendAs</vt:lpwstr>
  </op:property>
  <op:property fmtid="{D5CDD505-2E9C-101B-9397-08002B2CF9AE}" pid="8" name="DEDocumentLocation">
    <vt:lpwstr>C:\Users\qhu\AppData\Local\Linklaters\DocExplorer\Attachments\A42919847 v0.2 Hoxton_Simple Case Publicity Form_CHN.docx</vt:lpwstr>
  </op:property>
  <op:property fmtid="{D5CDD505-2E9C-101B-9397-08002B2CF9AE}" pid="9" name="ObjectID">
    <vt:lpwstr>09001dc8951c6fdd</vt:lpwstr>
  </op:property>
  <op:property fmtid="{D5CDD505-2E9C-101B-9397-08002B2CF9AE}" pid="10" name="_MarkAsFinal">
    <vt:bool>false</vt:bool>
  </op:property>
</op:Properties>
</file>