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line="440" w:lineRule="exact"/>
        <w:jc w:val="center"/>
        <w:rPr>
          <w:rFonts w:ascii="Times New Roman" w:eastAsiaTheme="minorEastAsia" w:hAnsi="Times New Roman"/>
          <w:b/>
          <w:bCs/>
          <w:sz w:val="24"/>
          <w:szCs w:val="24"/>
        </w:rPr>
      </w:pPr>
      <w:r>
        <w:rPr>
          <w:rFonts w:ascii="Times New Roman" w:eastAsiaTheme="minorEastAsia" w:hAnsi="Times New Roman" w:hint="eastAsia"/>
          <w:b/>
          <w:bCs/>
          <w:sz w:val="24"/>
          <w:szCs w:val="24"/>
        </w:rPr>
        <w:t>经营者集中简易案件公示表</w:t>
      </w:r>
    </w:p>
    <w:p>
      <w:pPr>
        <w:spacing w:line="440" w:lineRule="exact"/>
        <w:rPr>
          <w:rFonts w:ascii="Times New Roman" w:eastAsiaTheme="minorEastAsia"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trPr>
          <w:trHeight w:val="670"/>
        </w:trPr>
        <w:tc>
          <w:tcPr>
            <w:tcW w:w="1809" w:type="dxa"/>
            <w:shd w:val="clear" w:color="auto" w:fill="D9D9D9"/>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案件名称</w:t>
            </w:r>
          </w:p>
        </w:tc>
        <w:tc>
          <w:tcPr>
            <w:tcW w:w="6949" w:type="dxa"/>
            <w:gridSpan w:val="2"/>
            <w:vAlign w:val="center"/>
          </w:tcPr>
          <w:p>
            <w:pPr>
              <w:rPr>
                <w:rFonts w:ascii="Times New Roman" w:eastAsiaTheme="minorEastAsia" w:hAnsi="Times New Roman"/>
                <w:sz w:val="24"/>
                <w:szCs w:val="24"/>
                <w:lang w:bidi="ar"/>
              </w:rPr>
            </w:pPr>
            <w:r>
              <w:rPr>
                <w:rFonts w:ascii="Times New Roman" w:eastAsiaTheme="minorEastAsia" w:hAnsi="Times New Roman" w:hint="eastAsia"/>
                <w:kern w:val="0"/>
                <w:sz w:val="24"/>
                <w:szCs w:val="24"/>
              </w:rPr>
              <w:t>威立雅日本株式会社与三井物产株式会社等经营者新设合营企业案（“</w:t>
            </w:r>
            <w:r>
              <w:rPr>
                <w:rFonts w:ascii="Times New Roman" w:eastAsiaTheme="minorEastAsia" w:hAnsi="Times New Roman" w:hint="eastAsia"/>
                <w:b/>
                <w:kern w:val="0"/>
                <w:sz w:val="24"/>
                <w:szCs w:val="24"/>
              </w:rPr>
              <w:t>本交易</w:t>
            </w:r>
            <w:r>
              <w:rPr>
                <w:rFonts w:ascii="Times New Roman" w:eastAsiaTheme="minorEastAsia" w:hAnsi="Times New Roman" w:hint="eastAsia"/>
                <w:kern w:val="0"/>
                <w:sz w:val="24"/>
                <w:szCs w:val="24"/>
              </w:rPr>
              <w:t>”）</w:t>
            </w:r>
          </w:p>
        </w:tc>
      </w:tr>
      <w:tr>
        <w:trPr>
          <w:trHeight w:val="1826"/>
        </w:trPr>
        <w:tc>
          <w:tcPr>
            <w:tcW w:w="1809" w:type="dxa"/>
            <w:shd w:val="clear" w:color="auto" w:fill="D9D9D9"/>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交易概况（限</w:t>
            </w:r>
            <w:r>
              <w:rPr>
                <w:rFonts w:ascii="Times New Roman" w:eastAsiaTheme="minorEastAsia" w:hAnsi="Times New Roman" w:hint="eastAsia"/>
                <w:color w:val="000000" w:themeColor="text1"/>
                <w:sz w:val="24"/>
                <w:szCs w:val="24"/>
              </w:rPr>
              <w:t>200</w:t>
            </w:r>
            <w:r>
              <w:rPr>
                <w:rFonts w:ascii="Times New Roman" w:eastAsiaTheme="minorEastAsia" w:hAnsi="Times New Roman" w:hint="eastAsia"/>
                <w:color w:val="000000" w:themeColor="text1"/>
                <w:sz w:val="24"/>
                <w:szCs w:val="24"/>
              </w:rPr>
              <w:t>字内）</w:t>
            </w:r>
          </w:p>
        </w:tc>
        <w:tc>
          <w:tcPr>
            <w:tcW w:w="6949" w:type="dxa"/>
            <w:gridSpan w:val="2"/>
            <w:vAlign w:val="center"/>
          </w:tcPr>
          <w:p>
            <w:pPr>
              <w:spacing w:beforeLines="50" w:before="156" w:afterLines="50" w:after="156"/>
              <w:rPr>
                <w:rFonts w:ascii="Times New Roman" w:eastAsiaTheme="minorEastAsia" w:hAnsi="Times New Roman"/>
                <w:sz w:val="24"/>
                <w:szCs w:val="24"/>
              </w:rPr>
            </w:pPr>
            <w:r>
              <w:rPr>
                <w:rFonts w:ascii="Times New Roman" w:eastAsiaTheme="minorEastAsia" w:hAnsi="Times New Roman" w:hint="eastAsia"/>
                <w:sz w:val="24"/>
                <w:szCs w:val="24"/>
              </w:rPr>
              <w:t>本交易涉及</w:t>
            </w:r>
            <w:r>
              <w:rPr>
                <w:rFonts w:ascii="Times New Roman" w:eastAsiaTheme="minorEastAsia" w:hAnsi="Times New Roman" w:hint="eastAsia"/>
                <w:kern w:val="0"/>
                <w:sz w:val="24"/>
                <w:szCs w:val="24"/>
              </w:rPr>
              <w:t>威立雅日本株式会社（“</w:t>
            </w:r>
            <w:r>
              <w:rPr>
                <w:rFonts w:ascii="Times New Roman" w:eastAsiaTheme="minorEastAsia" w:hAnsi="Times New Roman" w:hint="eastAsia"/>
                <w:b/>
                <w:kern w:val="0"/>
                <w:sz w:val="24"/>
                <w:szCs w:val="24"/>
              </w:rPr>
              <w:t>威立雅日本</w:t>
            </w:r>
            <w:r>
              <w:rPr>
                <w:rFonts w:ascii="Times New Roman" w:eastAsiaTheme="minorEastAsia" w:hAnsi="Times New Roman" w:hint="eastAsia"/>
                <w:kern w:val="0"/>
                <w:sz w:val="24"/>
                <w:szCs w:val="24"/>
              </w:rPr>
              <w:t>”）、三井物产株式会社（“</w:t>
            </w:r>
            <w:r>
              <w:rPr>
                <w:rFonts w:ascii="Times New Roman" w:eastAsiaTheme="minorEastAsia" w:hAnsi="Times New Roman" w:hint="eastAsia"/>
                <w:b/>
                <w:kern w:val="0"/>
                <w:sz w:val="24"/>
                <w:szCs w:val="24"/>
              </w:rPr>
              <w:t>三井物产</w:t>
            </w:r>
            <w:r>
              <w:rPr>
                <w:rFonts w:ascii="Times New Roman" w:eastAsiaTheme="minorEastAsia" w:hAnsi="Times New Roman" w:hint="eastAsia"/>
                <w:kern w:val="0"/>
                <w:sz w:val="24"/>
                <w:szCs w:val="24"/>
              </w:rPr>
              <w:t>”）与</w:t>
            </w:r>
            <w:r>
              <w:rPr>
                <w:rFonts w:ascii="Times New Roman" w:eastAsiaTheme="minorEastAsia" w:hAnsi="Times New Roman" w:hint="eastAsia"/>
                <w:kern w:val="0"/>
                <w:sz w:val="24"/>
                <w:szCs w:val="24"/>
              </w:rPr>
              <w:t>Seven &amp;i</w:t>
            </w:r>
            <w:r>
              <w:rPr>
                <w:rFonts w:ascii="Times New Roman" w:eastAsiaTheme="minorEastAsia" w:hAnsi="Times New Roman" w:hint="eastAsia"/>
                <w:kern w:val="0"/>
                <w:sz w:val="24"/>
                <w:szCs w:val="24"/>
              </w:rPr>
              <w:t>控股公司</w:t>
            </w:r>
            <w:r>
              <w:rPr>
                <w:rFonts w:ascii="Times New Roman" w:eastAsiaTheme="minorEastAsia" w:hAnsi="Times New Roman" w:hint="eastAsia"/>
                <w:sz w:val="24"/>
                <w:szCs w:val="24"/>
              </w:rPr>
              <w:t>在日本新设一家合营企业。该合营企业将仅在日本从事再生</w:t>
            </w:r>
            <w:r>
              <w:rPr>
                <w:rFonts w:ascii="Times New Roman" w:eastAsiaTheme="minorEastAsia" w:hAnsi="Times New Roman" w:hint="eastAsia"/>
                <w:sz w:val="24"/>
                <w:szCs w:val="24"/>
              </w:rPr>
              <w:t>PET</w:t>
            </w:r>
            <w:r>
              <w:rPr>
                <w:rFonts w:ascii="Times New Roman" w:eastAsiaTheme="minorEastAsia" w:hAnsi="Times New Roman" w:hint="eastAsia"/>
                <w:sz w:val="24"/>
                <w:szCs w:val="24"/>
              </w:rPr>
              <w:t>树脂的制造和销售业务。</w:t>
            </w:r>
          </w:p>
          <w:p>
            <w:pPr>
              <w:spacing w:beforeLines="50" w:before="156" w:afterLines="50" w:after="156"/>
              <w:rPr>
                <w:rFonts w:ascii="Times New Roman" w:eastAsiaTheme="minorEastAsia" w:hAnsi="Times New Roman"/>
                <w:sz w:val="24"/>
                <w:szCs w:val="24"/>
              </w:rPr>
            </w:pPr>
            <w:r>
              <w:rPr>
                <w:rFonts w:ascii="Times New Roman" w:eastAsiaTheme="minorEastAsia" w:hAnsi="Times New Roman" w:hint="eastAsia"/>
                <w:sz w:val="24"/>
                <w:szCs w:val="24"/>
              </w:rPr>
              <w:t>交易之后，</w:t>
            </w:r>
            <w:r>
              <w:rPr>
                <w:rFonts w:ascii="Times New Roman" w:eastAsiaTheme="minorEastAsia" w:hAnsi="Times New Roman" w:hint="eastAsia"/>
                <w:kern w:val="0"/>
                <w:sz w:val="24"/>
                <w:szCs w:val="24"/>
              </w:rPr>
              <w:t>威立雅日本与</w:t>
            </w:r>
            <w:r>
              <w:rPr>
                <w:rFonts w:ascii="Times New Roman" w:eastAsiaTheme="minorEastAsia" w:hAnsi="Times New Roman" w:hint="eastAsia"/>
                <w:sz w:val="24"/>
                <w:szCs w:val="24"/>
              </w:rPr>
              <w:t>三井物产将共同控制合营企业。</w:t>
            </w:r>
          </w:p>
        </w:tc>
      </w:tr>
      <w:tr>
        <w:trPr>
          <w:trHeight w:val="1203"/>
        </w:trPr>
        <w:tc>
          <w:tcPr>
            <w:tcW w:w="1809" w:type="dxa"/>
            <w:vMerge w:val="restart"/>
            <w:shd w:val="clear" w:color="auto" w:fill="D9D9D9"/>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参与集中的经营者简介</w:t>
            </w:r>
          </w:p>
        </w:tc>
        <w:tc>
          <w:tcPr>
            <w:tcW w:w="1796" w:type="dxa"/>
            <w:vAlign w:val="center"/>
          </w:tcPr>
          <w:p>
            <w:pPr>
              <w:rPr>
                <w:rFonts w:ascii="Times New Roman" w:eastAsiaTheme="minorEastAsia" w:hAnsi="Times New Roman"/>
                <w:sz w:val="24"/>
                <w:szCs w:val="24"/>
              </w:rPr>
            </w:pPr>
            <w:r>
              <w:rPr>
                <w:rFonts w:ascii="Times New Roman" w:eastAsiaTheme="minorEastAsia" w:hAnsi="Times New Roman" w:hint="eastAsia"/>
                <w:sz w:val="24"/>
                <w:szCs w:val="24"/>
              </w:rPr>
              <w:t>1</w:t>
            </w:r>
            <w:r>
              <w:rPr>
                <w:rFonts w:ascii="Times New Roman" w:eastAsiaTheme="minorEastAsia" w:hAnsi="Times New Roman" w:hint="eastAsia"/>
                <w:sz w:val="24"/>
                <w:szCs w:val="24"/>
              </w:rPr>
              <w:t>、</w:t>
            </w:r>
            <w:r>
              <w:rPr>
                <w:rFonts w:ascii="Times New Roman" w:eastAsiaTheme="minorEastAsia" w:hAnsi="Times New Roman" w:hint="eastAsia"/>
                <w:kern w:val="0"/>
                <w:sz w:val="24"/>
                <w:szCs w:val="24"/>
              </w:rPr>
              <w:t>威立雅日本</w:t>
            </w:r>
          </w:p>
        </w:tc>
        <w:tc>
          <w:tcPr>
            <w:tcW w:w="5153" w:type="dxa"/>
            <w:vAlign w:val="center"/>
          </w:tcPr>
          <w:p>
            <w:pPr>
              <w:snapToGrid w:val="0"/>
              <w:rPr>
                <w:rFonts w:ascii="Times New Roman" w:eastAsiaTheme="minorEastAsia" w:hAnsi="Times New Roman"/>
                <w:sz w:val="24"/>
                <w:szCs w:val="24"/>
              </w:rPr>
            </w:pPr>
            <w:r>
              <w:rPr>
                <w:rFonts w:ascii="Times New Roman" w:eastAsiaTheme="minorEastAsia" w:hAnsi="Times New Roman" w:hint="eastAsia"/>
                <w:sz w:val="24"/>
                <w:szCs w:val="24"/>
              </w:rPr>
              <w:t>威立雅日本下属其母公司</w:t>
            </w:r>
            <w:r>
              <w:rPr>
                <w:rFonts w:ascii="Times New Roman" w:eastAsiaTheme="minorEastAsia" w:hAnsi="Times New Roman" w:hint="eastAsia"/>
                <w:sz w:val="24"/>
                <w:szCs w:val="24"/>
                <w:lang w:val="en-GB"/>
              </w:rPr>
              <w:t>威立雅环境公司，从事三个主要领域的业务，即</w:t>
            </w:r>
            <w:r>
              <w:rPr>
                <w:rFonts w:ascii="Times New Roman" w:eastAsiaTheme="minorEastAsia" w:hAnsi="Times New Roman" w:hint="eastAsia"/>
                <w:sz w:val="24"/>
                <w:szCs w:val="24"/>
              </w:rPr>
              <w:t>水、废弃物和能源。威立雅日本主要专注于水业务的市政招投标、特许模式的水服务及绩效合同、源于可再生能源的能源生产及再生塑料生产。</w:t>
            </w:r>
          </w:p>
        </w:tc>
      </w:tr>
      <w:tr>
        <w:trPr>
          <w:trHeight w:val="1255"/>
        </w:trPr>
        <w:tc>
          <w:tcPr>
            <w:tcW w:w="1809" w:type="dxa"/>
            <w:vMerge/>
            <w:shd w:val="clear" w:color="auto" w:fill="D9D9D9"/>
          </w:tcPr>
          <w:p>
            <w:pPr>
              <w:spacing w:line="500" w:lineRule="exact"/>
              <w:rPr>
                <w:rFonts w:ascii="Times New Roman" w:eastAsiaTheme="minorEastAsia" w:hAnsi="Times New Roman"/>
                <w:color w:val="000000" w:themeColor="text1"/>
                <w:sz w:val="24"/>
                <w:szCs w:val="24"/>
              </w:rPr>
            </w:pPr>
          </w:p>
        </w:tc>
        <w:tc>
          <w:tcPr>
            <w:tcW w:w="1796" w:type="dxa"/>
            <w:vAlign w:val="center"/>
          </w:tcPr>
          <w:p>
            <w:pPr>
              <w:rPr>
                <w:rFonts w:ascii="Times New Roman" w:eastAsiaTheme="minorEastAsia" w:hAnsi="Times New Roman"/>
                <w:sz w:val="24"/>
                <w:szCs w:val="24"/>
              </w:rPr>
            </w:pPr>
            <w:r>
              <w:rPr>
                <w:rFonts w:ascii="Times New Roman" w:eastAsiaTheme="minorEastAsia" w:hAnsi="Times New Roman" w:hint="eastAsia"/>
                <w:sz w:val="24"/>
                <w:szCs w:val="24"/>
              </w:rPr>
              <w:t>2</w:t>
            </w:r>
            <w:r>
              <w:rPr>
                <w:rFonts w:ascii="Times New Roman" w:eastAsiaTheme="minorEastAsia" w:hAnsi="Times New Roman" w:hint="eastAsia"/>
                <w:sz w:val="24"/>
                <w:szCs w:val="24"/>
              </w:rPr>
              <w:t>、三井物产</w:t>
            </w:r>
          </w:p>
        </w:tc>
        <w:tc>
          <w:tcPr>
            <w:tcW w:w="5153" w:type="dxa"/>
            <w:vAlign w:val="center"/>
          </w:tcPr>
          <w:p>
            <w:pPr>
              <w:rPr>
                <w:rFonts w:ascii="Times New Roman" w:eastAsiaTheme="minorEastAsia" w:hAnsi="Times New Roman"/>
                <w:sz w:val="24"/>
                <w:szCs w:val="24"/>
                <w:lang w:bidi="ar"/>
              </w:rPr>
            </w:pPr>
            <w:r>
              <w:rPr>
                <w:rFonts w:ascii="Times New Roman" w:eastAsiaTheme="minorEastAsia" w:hAnsi="Times New Roman" w:hint="eastAsia"/>
                <w:sz w:val="24"/>
                <w:szCs w:val="24"/>
              </w:rPr>
              <w:t>三井物产是一家在全球范围内从事商品交易和其他业务的日本贸易公司，其主要业务领域如下：钢铁产品业务、矿物和金属资源业务、能源业务、机械和基础设施业务、化学品业务、生活方式业务、创新及公司发展业务。</w:t>
            </w:r>
          </w:p>
        </w:tc>
      </w:tr>
      <w:tr>
        <w:trPr>
          <w:trHeight w:val="279"/>
        </w:trPr>
        <w:tc>
          <w:tcPr>
            <w:tcW w:w="1809" w:type="dxa"/>
            <w:vMerge w:val="restart"/>
            <w:shd w:val="clear" w:color="auto" w:fill="D9D9D9"/>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简易案件理由（可以单选，也可以多选）</w:t>
            </w:r>
          </w:p>
        </w:tc>
        <w:tc>
          <w:tcPr>
            <w:tcW w:w="6949" w:type="dxa"/>
            <w:gridSpan w:val="2"/>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w:t>
            </w:r>
            <w:r>
              <w:rPr>
                <w:rFonts w:ascii="Times New Roman" w:eastAsiaTheme="minorEastAsia" w:hAnsi="Times New Roman" w:hint="eastAsia"/>
                <w:color w:val="000000" w:themeColor="text1"/>
                <w:sz w:val="24"/>
                <w:szCs w:val="24"/>
              </w:rPr>
              <w:t>1</w:t>
            </w:r>
            <w:r>
              <w:rPr>
                <w:rFonts w:ascii="Times New Roman" w:eastAsiaTheme="minorEastAsia" w:hAnsi="Times New Roman" w:hint="eastAsia"/>
                <w:color w:val="000000" w:themeColor="text1"/>
                <w:sz w:val="24"/>
                <w:szCs w:val="24"/>
              </w:rPr>
              <w:t>、在同一相关市场，所有参与集中的经营者所占市场份额之和小于</w:t>
            </w:r>
            <w:r>
              <w:rPr>
                <w:rFonts w:ascii="Times New Roman" w:eastAsiaTheme="minorEastAsia" w:hAnsi="Times New Roman" w:hint="eastAsia"/>
                <w:color w:val="000000" w:themeColor="text1"/>
                <w:sz w:val="24"/>
                <w:szCs w:val="24"/>
              </w:rPr>
              <w:t>15%</w:t>
            </w:r>
            <w:r>
              <w:rPr>
                <w:rFonts w:ascii="Times New Roman" w:eastAsiaTheme="minorEastAsia" w:hAnsi="Times New Roman" w:hint="eastAsia"/>
                <w:color w:val="000000" w:themeColor="text1"/>
                <w:sz w:val="24"/>
                <w:szCs w:val="24"/>
              </w:rPr>
              <w:t>。</w:t>
            </w:r>
          </w:p>
        </w:tc>
      </w:tr>
      <w:tr>
        <w:trPr>
          <w:trHeight w:val="330"/>
        </w:trPr>
        <w:tc>
          <w:tcPr>
            <w:tcW w:w="1809" w:type="dxa"/>
            <w:vMerge/>
            <w:shd w:val="clear" w:color="auto" w:fill="D9D9D9"/>
          </w:tcPr>
          <w:p>
            <w:pPr>
              <w:spacing w:line="500" w:lineRule="exact"/>
              <w:rPr>
                <w:rFonts w:ascii="Times New Roman" w:eastAsiaTheme="minorEastAsia" w:hAnsi="Times New Roman"/>
                <w:color w:val="000000" w:themeColor="text1"/>
                <w:sz w:val="24"/>
                <w:szCs w:val="24"/>
              </w:rPr>
            </w:pPr>
          </w:p>
        </w:tc>
        <w:tc>
          <w:tcPr>
            <w:tcW w:w="6949" w:type="dxa"/>
            <w:gridSpan w:val="2"/>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w:t>
            </w:r>
            <w:r>
              <w:rPr>
                <w:rFonts w:ascii="Times New Roman" w:eastAsiaTheme="minorEastAsia" w:hAnsi="Times New Roman" w:hint="eastAsia"/>
                <w:color w:val="000000" w:themeColor="text1"/>
                <w:sz w:val="24"/>
                <w:szCs w:val="24"/>
              </w:rPr>
              <w:t>2</w:t>
            </w:r>
            <w:r>
              <w:rPr>
                <w:rFonts w:ascii="Times New Roman" w:eastAsiaTheme="minorEastAsia" w:hAnsi="Times New Roman" w:hint="eastAsia"/>
                <w:color w:val="000000" w:themeColor="text1"/>
                <w:sz w:val="24"/>
                <w:szCs w:val="24"/>
              </w:rPr>
              <w:t>、存在上下游关系的参与集中的经营者，在上下游市场所占的市场份额均小于</w:t>
            </w:r>
            <w:r>
              <w:rPr>
                <w:rFonts w:ascii="Times New Roman" w:eastAsiaTheme="minorEastAsia" w:hAnsi="Times New Roman" w:hint="eastAsia"/>
                <w:color w:val="000000" w:themeColor="text1"/>
                <w:sz w:val="24"/>
                <w:szCs w:val="24"/>
              </w:rPr>
              <w:t>25%</w:t>
            </w:r>
            <w:r>
              <w:rPr>
                <w:rFonts w:ascii="Times New Roman" w:eastAsiaTheme="minorEastAsia" w:hAnsi="Times New Roman" w:hint="eastAsia"/>
                <w:color w:val="000000" w:themeColor="text1"/>
                <w:sz w:val="24"/>
                <w:szCs w:val="24"/>
              </w:rPr>
              <w:t>。</w:t>
            </w:r>
          </w:p>
        </w:tc>
      </w:tr>
      <w:tr>
        <w:trPr>
          <w:trHeight w:val="285"/>
        </w:trPr>
        <w:tc>
          <w:tcPr>
            <w:tcW w:w="1809" w:type="dxa"/>
            <w:vMerge/>
            <w:shd w:val="clear" w:color="auto" w:fill="D9D9D9"/>
          </w:tcPr>
          <w:p>
            <w:pPr>
              <w:spacing w:line="500" w:lineRule="exact"/>
              <w:rPr>
                <w:rFonts w:ascii="Times New Roman" w:eastAsiaTheme="minorEastAsia" w:hAnsi="Times New Roman"/>
                <w:color w:val="000000" w:themeColor="text1"/>
                <w:sz w:val="24"/>
                <w:szCs w:val="24"/>
              </w:rPr>
            </w:pPr>
          </w:p>
        </w:tc>
        <w:tc>
          <w:tcPr>
            <w:tcW w:w="6949" w:type="dxa"/>
            <w:gridSpan w:val="2"/>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w:t>
            </w:r>
            <w:r>
              <w:rPr>
                <w:rFonts w:ascii="Times New Roman" w:eastAsiaTheme="minorEastAsia" w:hAnsi="Times New Roman" w:hint="eastAsia"/>
                <w:color w:val="000000" w:themeColor="text1"/>
                <w:sz w:val="24"/>
                <w:szCs w:val="24"/>
              </w:rPr>
              <w:t>3</w:t>
            </w:r>
            <w:r>
              <w:rPr>
                <w:rFonts w:ascii="Times New Roman" w:eastAsiaTheme="minorEastAsia" w:hAnsi="Times New Roman" w:hint="eastAsia"/>
                <w:color w:val="000000" w:themeColor="text1"/>
                <w:sz w:val="24"/>
                <w:szCs w:val="24"/>
              </w:rPr>
              <w:t>、不在同一相关市场、也不存在上下游关系的参与集中的经营者，在与交易有关的每个市场所占的份额均小于</w:t>
            </w:r>
            <w:r>
              <w:rPr>
                <w:rFonts w:ascii="Times New Roman" w:eastAsiaTheme="minorEastAsia" w:hAnsi="Times New Roman" w:hint="eastAsia"/>
                <w:color w:val="000000" w:themeColor="text1"/>
                <w:sz w:val="24"/>
                <w:szCs w:val="24"/>
              </w:rPr>
              <w:t>25%</w:t>
            </w:r>
            <w:r>
              <w:rPr>
                <w:rFonts w:ascii="Times New Roman" w:eastAsiaTheme="minorEastAsia" w:hAnsi="Times New Roman" w:hint="eastAsia"/>
                <w:color w:val="000000" w:themeColor="text1"/>
                <w:sz w:val="24"/>
                <w:szCs w:val="24"/>
              </w:rPr>
              <w:t>。</w:t>
            </w:r>
          </w:p>
        </w:tc>
      </w:tr>
      <w:tr>
        <w:trPr>
          <w:trHeight w:val="870"/>
        </w:trPr>
        <w:tc>
          <w:tcPr>
            <w:tcW w:w="1809" w:type="dxa"/>
            <w:vMerge/>
            <w:shd w:val="clear" w:color="auto" w:fill="D9D9D9"/>
          </w:tcPr>
          <w:p>
            <w:pPr>
              <w:spacing w:line="500" w:lineRule="exact"/>
              <w:rPr>
                <w:rFonts w:ascii="Times New Roman" w:eastAsiaTheme="minorEastAsia" w:hAnsi="Times New Roman"/>
                <w:color w:val="000000" w:themeColor="text1"/>
                <w:sz w:val="24"/>
                <w:szCs w:val="24"/>
              </w:rPr>
            </w:pPr>
          </w:p>
        </w:tc>
        <w:tc>
          <w:tcPr>
            <w:tcW w:w="6949" w:type="dxa"/>
            <w:gridSpan w:val="2"/>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sz w:val="24"/>
                <w:szCs w:val="24"/>
              </w:rPr>
              <w:sym w:font="Wingdings" w:char="F0FE"/>
            </w:r>
            <w:r>
              <w:rPr>
                <w:rFonts w:ascii="Times New Roman" w:eastAsiaTheme="minorEastAsia" w:hAnsi="Times New Roman" w:hint="eastAsia"/>
                <w:color w:val="000000" w:themeColor="text1"/>
                <w:sz w:val="24"/>
                <w:szCs w:val="24"/>
              </w:rPr>
              <w:t>4</w:t>
            </w:r>
            <w:r>
              <w:rPr>
                <w:rFonts w:ascii="Times New Roman" w:eastAsiaTheme="minorEastAsia" w:hAnsi="Times New Roman" w:hint="eastAsia"/>
                <w:color w:val="000000" w:themeColor="text1"/>
                <w:sz w:val="24"/>
                <w:szCs w:val="24"/>
              </w:rPr>
              <w:t>、参与集中的经营者在中国境外设立合营企业，合营企业不在中国境内从事经济活动。</w:t>
            </w:r>
          </w:p>
        </w:tc>
      </w:tr>
      <w:tr>
        <w:trPr>
          <w:trHeight w:val="264"/>
        </w:trPr>
        <w:tc>
          <w:tcPr>
            <w:tcW w:w="1809" w:type="dxa"/>
            <w:vMerge/>
            <w:shd w:val="clear" w:color="auto" w:fill="D9D9D9"/>
          </w:tcPr>
          <w:p>
            <w:pPr>
              <w:spacing w:line="500" w:lineRule="exact"/>
              <w:rPr>
                <w:rFonts w:ascii="Times New Roman" w:eastAsiaTheme="minorEastAsia" w:hAnsi="Times New Roman"/>
                <w:color w:val="000000" w:themeColor="text1"/>
                <w:sz w:val="24"/>
                <w:szCs w:val="24"/>
              </w:rPr>
            </w:pPr>
          </w:p>
        </w:tc>
        <w:tc>
          <w:tcPr>
            <w:tcW w:w="6949" w:type="dxa"/>
            <w:gridSpan w:val="2"/>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w:t>
            </w:r>
            <w:r>
              <w:rPr>
                <w:rFonts w:ascii="Times New Roman" w:eastAsiaTheme="minorEastAsia" w:hAnsi="Times New Roman" w:hint="eastAsia"/>
                <w:color w:val="000000" w:themeColor="text1"/>
                <w:sz w:val="24"/>
                <w:szCs w:val="24"/>
              </w:rPr>
              <w:t>5</w:t>
            </w:r>
            <w:r>
              <w:rPr>
                <w:rFonts w:ascii="Times New Roman" w:eastAsiaTheme="minorEastAsia" w:hAnsi="Times New Roman" w:hint="eastAsia"/>
                <w:color w:val="000000" w:themeColor="text1"/>
                <w:sz w:val="24"/>
                <w:szCs w:val="24"/>
              </w:rPr>
              <w:t>、参与集中的经营者收购境外企业股权或资产的，该境外企业不在中国境内从事经济活动。</w:t>
            </w:r>
          </w:p>
        </w:tc>
      </w:tr>
      <w:tr>
        <w:trPr>
          <w:trHeight w:val="345"/>
        </w:trPr>
        <w:tc>
          <w:tcPr>
            <w:tcW w:w="1809" w:type="dxa"/>
            <w:vMerge/>
            <w:shd w:val="clear" w:color="auto" w:fill="D9D9D9"/>
          </w:tcPr>
          <w:p>
            <w:pPr>
              <w:spacing w:line="500" w:lineRule="exact"/>
              <w:rPr>
                <w:rFonts w:ascii="Times New Roman" w:eastAsiaTheme="minorEastAsia" w:hAnsi="Times New Roman"/>
                <w:color w:val="000000" w:themeColor="text1"/>
                <w:sz w:val="24"/>
                <w:szCs w:val="24"/>
              </w:rPr>
            </w:pPr>
          </w:p>
        </w:tc>
        <w:tc>
          <w:tcPr>
            <w:tcW w:w="6949" w:type="dxa"/>
            <w:gridSpan w:val="2"/>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w:t>
            </w:r>
            <w:r>
              <w:rPr>
                <w:rFonts w:ascii="Times New Roman" w:eastAsiaTheme="minorEastAsia" w:hAnsi="Times New Roman" w:hint="eastAsia"/>
                <w:color w:val="000000" w:themeColor="text1"/>
                <w:sz w:val="24"/>
                <w:szCs w:val="24"/>
              </w:rPr>
              <w:t>6</w:t>
            </w:r>
            <w:r>
              <w:rPr>
                <w:rFonts w:ascii="Times New Roman" w:eastAsiaTheme="minorEastAsia" w:hAnsi="Times New Roman" w:hint="eastAsia"/>
                <w:color w:val="000000" w:themeColor="text1"/>
                <w:sz w:val="24"/>
                <w:szCs w:val="24"/>
              </w:rPr>
              <w:t>、由两个以上的经营者共同控制的合营企业，通过集中被其中一个或一个以上经营者控制。</w:t>
            </w:r>
          </w:p>
        </w:tc>
      </w:tr>
      <w:tr>
        <w:tc>
          <w:tcPr>
            <w:tcW w:w="1809" w:type="dxa"/>
            <w:shd w:val="clear" w:color="auto" w:fill="D9D9D9"/>
          </w:tcPr>
          <w:p>
            <w:pPr>
              <w:spacing w:line="500" w:lineRule="exact"/>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备注</w:t>
            </w:r>
          </w:p>
        </w:tc>
        <w:tc>
          <w:tcPr>
            <w:tcW w:w="6949" w:type="dxa"/>
            <w:gridSpan w:val="2"/>
          </w:tcPr>
          <w:p>
            <w:pPr>
              <w:snapToGrid w:val="0"/>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不适用</w:t>
            </w:r>
          </w:p>
        </w:tc>
      </w:tr>
    </w:tbl>
    <w:p>
      <w:pPr>
        <w:snapToGrid w:val="0"/>
        <w:spacing w:line="240" w:lineRule="exact"/>
        <w:jc w:val="left"/>
        <w:rPr>
          <w:rFonts w:ascii="Times New Roman" w:eastAsiaTheme="minorEastAsia" w:hAnsi="Times New Roman"/>
          <w:sz w:val="24"/>
          <w:szCs w:val="24"/>
        </w:rPr>
      </w:pPr>
    </w:p>
    <w:p>
      <w:pPr>
        <w:snapToGrid w:val="0"/>
        <w:spacing w:line="240" w:lineRule="exact"/>
        <w:jc w:val="left"/>
        <w:rPr>
          <w:rFonts w:ascii="Times New Roman" w:eastAsiaTheme="minorEastAsia" w:hAnsi="Times New Roman"/>
          <w:sz w:val="24"/>
          <w:szCs w:val="24"/>
        </w:rPr>
      </w:pPr>
      <w:r>
        <w:rPr>
          <w:rFonts w:ascii="Times New Roman" w:eastAsiaTheme="minorEastAsia" w:hAnsi="Times New Roman" w:hint="eastAsia"/>
          <w:sz w:val="24"/>
          <w:szCs w:val="24"/>
        </w:rPr>
        <w:t>注解：</w:t>
      </w:r>
    </w:p>
    <w:p>
      <w:pPr>
        <w:snapToGrid w:val="0"/>
        <w:spacing w:line="360" w:lineRule="auto"/>
        <w:ind w:firstLineChars="200" w:firstLine="480"/>
        <w:jc w:val="left"/>
        <w:rPr>
          <w:rFonts w:ascii="Times New Roman" w:eastAsiaTheme="minorEastAsia" w:hAnsi="Times New Roman"/>
          <w:sz w:val="24"/>
          <w:szCs w:val="24"/>
        </w:rPr>
      </w:pPr>
      <w:r>
        <w:rPr>
          <w:rFonts w:ascii="Times New Roman" w:eastAsiaTheme="minorEastAsia" w:hAnsi="Times New Roman" w:hint="eastAsia"/>
          <w:sz w:val="24"/>
          <w:szCs w:val="24"/>
        </w:rPr>
        <w:lastRenderedPageBreak/>
        <w:t>1</w:t>
      </w:r>
      <w:r>
        <w:rPr>
          <w:rFonts w:ascii="Times New Roman" w:eastAsiaTheme="minorEastAsia" w:hAnsi="Times New Roman" w:hint="eastAsia"/>
          <w:sz w:val="24"/>
          <w:szCs w:val="24"/>
        </w:rPr>
        <w:t>、申报方申请简易案件的理由是基于</w:t>
      </w:r>
      <w:r>
        <w:rPr>
          <w:rFonts w:ascii="Times New Roman" w:eastAsiaTheme="minorEastAsia" w:hAnsi="Times New Roman" w:hint="eastAsia"/>
          <w:sz w:val="24"/>
          <w:szCs w:val="24"/>
        </w:rPr>
        <w:t>1-3</w:t>
      </w:r>
      <w:r>
        <w:rPr>
          <w:rFonts w:ascii="Times New Roman" w:eastAsiaTheme="minorEastAsia" w:hAnsi="Times New Roman" w:hint="eastAsia"/>
          <w:sz w:val="24"/>
          <w:szCs w:val="24"/>
        </w:rPr>
        <w:t>项时，须在备注中说明界定的相关商品市场和相关地域市场（无须阐述界定理由），以及相关市场份额；市场份额可以区间形式提供，区间幅度不应超过</w:t>
      </w:r>
      <w:r>
        <w:rPr>
          <w:rFonts w:ascii="Times New Roman" w:eastAsiaTheme="minorEastAsia" w:hAnsi="Times New Roman" w:hint="eastAsia"/>
          <w:sz w:val="24"/>
          <w:szCs w:val="24"/>
        </w:rPr>
        <w:t>5%</w:t>
      </w:r>
      <w:r>
        <w:rPr>
          <w:rFonts w:ascii="Times New Roman" w:eastAsiaTheme="minorEastAsia" w:hAnsi="Times New Roman" w:hint="eastAsia"/>
          <w:sz w:val="24"/>
          <w:szCs w:val="24"/>
        </w:rPr>
        <w:t>。</w:t>
      </w:r>
      <w:r>
        <w:rPr>
          <w:rFonts w:ascii="Times New Roman" w:eastAsiaTheme="minorEastAsia" w:hAnsi="Times New Roman" w:hint="eastAsia"/>
          <w:sz w:val="24"/>
          <w:szCs w:val="24"/>
        </w:rPr>
        <w:t>1-3</w:t>
      </w:r>
      <w:r>
        <w:rPr>
          <w:rFonts w:ascii="Times New Roman" w:eastAsiaTheme="minorEastAsia" w:hAnsi="Times New Roman" w:hint="eastAsia"/>
          <w:sz w:val="24"/>
          <w:szCs w:val="24"/>
        </w:rPr>
        <w:t>项可以多选，也可单选；没有勾选的，视为本集中不涉及该类型交易。</w:t>
      </w:r>
    </w:p>
    <w:p>
      <w:pPr>
        <w:spacing w:line="360" w:lineRule="auto"/>
        <w:ind w:firstLineChars="200" w:firstLine="480"/>
        <w:rPr>
          <w:rFonts w:ascii="Times New Roman" w:eastAsiaTheme="minorEastAsia" w:hAnsi="Times New Roman"/>
          <w:sz w:val="24"/>
          <w:szCs w:val="24"/>
        </w:rPr>
      </w:pPr>
      <w:r>
        <w:rPr>
          <w:rFonts w:ascii="Times New Roman" w:eastAsiaTheme="minorEastAsia" w:hAnsi="Times New Roman" w:hint="eastAsia"/>
          <w:sz w:val="24"/>
          <w:szCs w:val="24"/>
        </w:rPr>
        <w:t>2</w:t>
      </w:r>
      <w:r>
        <w:rPr>
          <w:rFonts w:ascii="Times New Roman" w:eastAsiaTheme="minorEastAsia" w:hAnsi="Times New Roman" w:hint="eastAsia"/>
          <w:sz w:val="24"/>
          <w:szCs w:val="24"/>
        </w:rPr>
        <w:t>、申报方申请简易案件的理由是基于第</w:t>
      </w:r>
      <w:r>
        <w:rPr>
          <w:rFonts w:ascii="Times New Roman" w:eastAsiaTheme="minorEastAsia" w:hAnsi="Times New Roman" w:hint="eastAsia"/>
          <w:sz w:val="24"/>
          <w:szCs w:val="24"/>
        </w:rPr>
        <w:t>4</w:t>
      </w:r>
      <w:r>
        <w:rPr>
          <w:rFonts w:ascii="Times New Roman" w:eastAsiaTheme="minorEastAsia" w:hAnsi="Times New Roman" w:hint="eastAsia"/>
          <w:sz w:val="24"/>
          <w:szCs w:val="24"/>
        </w:rPr>
        <w:t>项、第</w:t>
      </w:r>
      <w:r>
        <w:rPr>
          <w:rFonts w:ascii="Times New Roman" w:eastAsiaTheme="minorEastAsia" w:hAnsi="Times New Roman" w:hint="eastAsia"/>
          <w:sz w:val="24"/>
          <w:szCs w:val="24"/>
        </w:rPr>
        <w:t>5</w:t>
      </w:r>
      <w:r>
        <w:rPr>
          <w:rFonts w:ascii="Times New Roman" w:eastAsiaTheme="minorEastAsia" w:hAnsi="Times New Roman" w:hint="eastAsia"/>
          <w:sz w:val="24"/>
          <w:szCs w:val="24"/>
        </w:rPr>
        <w:t>项时，无须在备注中说明相关市场和市场份额。</w:t>
      </w:r>
      <w:r>
        <w:rPr>
          <w:rFonts w:ascii="Times New Roman" w:eastAsiaTheme="minorEastAsia" w:hAnsi="Times New Roman" w:hint="eastAsia"/>
          <w:sz w:val="24"/>
          <w:szCs w:val="24"/>
        </w:rPr>
        <w:br/>
        <w:t xml:space="preserve">    3</w:t>
      </w:r>
      <w:r>
        <w:rPr>
          <w:rFonts w:ascii="Times New Roman" w:eastAsiaTheme="minorEastAsia" w:hAnsi="Times New Roman" w:hint="eastAsia"/>
          <w:sz w:val="24"/>
          <w:szCs w:val="24"/>
        </w:rPr>
        <w:t>、由两个或两个以上经营者共同控制的合营企业，通过集中被其中的一个经营者控制，如果该经营者与合营企业属于同一相关市场的竞争者，则申报方在申请简易案件时，须同时勾选第</w:t>
      </w:r>
      <w:r>
        <w:rPr>
          <w:rFonts w:ascii="Times New Roman" w:eastAsiaTheme="minorEastAsia" w:hAnsi="Times New Roman" w:hint="eastAsia"/>
          <w:sz w:val="24"/>
          <w:szCs w:val="24"/>
        </w:rPr>
        <w:t>1</w:t>
      </w:r>
      <w:r>
        <w:rPr>
          <w:rFonts w:ascii="Times New Roman" w:eastAsiaTheme="minorEastAsia" w:hAnsi="Times New Roman" w:hint="eastAsia"/>
          <w:sz w:val="24"/>
          <w:szCs w:val="24"/>
        </w:rPr>
        <w:t>项和第</w:t>
      </w:r>
      <w:r>
        <w:rPr>
          <w:rFonts w:ascii="Times New Roman" w:eastAsiaTheme="minorEastAsia" w:hAnsi="Times New Roman" w:hint="eastAsia"/>
          <w:sz w:val="24"/>
          <w:szCs w:val="24"/>
        </w:rPr>
        <w:t>6</w:t>
      </w:r>
      <w:r>
        <w:rPr>
          <w:rFonts w:ascii="Times New Roman" w:eastAsiaTheme="minorEastAsia" w:hAnsi="Times New Roman" w:hint="eastAsia"/>
          <w:sz w:val="24"/>
          <w:szCs w:val="24"/>
        </w:rPr>
        <w:t>项理由，并在备注中说明界定的相关商品市场和相关地域市场（无须阐述界定理由），以及相关市场份额。市场份额可以区间形式提供，区间幅度不应超过</w:t>
      </w:r>
      <w:r>
        <w:rPr>
          <w:rFonts w:ascii="Times New Roman" w:eastAsiaTheme="minorEastAsia" w:hAnsi="Times New Roman" w:hint="eastAsia"/>
          <w:sz w:val="24"/>
          <w:szCs w:val="24"/>
        </w:rPr>
        <w:t>5%</w:t>
      </w:r>
      <w:r>
        <w:rPr>
          <w:rFonts w:ascii="Times New Roman" w:eastAsiaTheme="minorEastAsia" w:hAnsi="Times New Roman" w:hint="eastAsia"/>
          <w:sz w:val="24"/>
          <w:szCs w:val="24"/>
        </w:rPr>
        <w:t>。</w:t>
      </w:r>
    </w:p>
    <w:p>
      <w:pPr>
        <w:rPr>
          <w:rFonts w:ascii="Times New Roman" w:eastAsiaTheme="minorEastAsia" w:hAnsi="Times New Roman"/>
          <w:sz w:val="24"/>
          <w:szCs w:val="24"/>
        </w:rPr>
      </w:pPr>
    </w:p>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2D43634"/>
    <w:multiLevelType w:val="singleLevel"/>
    <w:tmpl w:val="A2D43634"/>
    <w:lvl w:ilvl="0">
      <w:start w:val="1"/>
      <w:numFmt w:val="bullet"/>
      <w:lvlText w:val=""/>
      <w:lvlJc w:val="left"/>
      <w:pPr>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NjUzMDMGQlNDCyUdpeDU4uLM/DyQAkODWgAVOwkqLQAAAA=="/>
  </w:docVar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1389F42-62D2-44D1-A399-A6D6E4BEB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28"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qFormat/>
    <w:rPr>
      <w:b/>
      <w:bCs/>
    </w:rPr>
  </w:style>
  <w:style w:type="paragraph" w:styleId="a4">
    <w:name w:val="annotation text"/>
    <w:basedOn w:val="a"/>
    <w:link w:val="a6"/>
    <w:uiPriority w:val="99"/>
    <w:semiHidden/>
    <w:unhideWhenUsed/>
    <w:qFormat/>
    <w:pPr>
      <w:jc w:val="left"/>
    </w:pPr>
  </w:style>
  <w:style w:type="paragraph" w:styleId="a7">
    <w:name w:val="endnote text"/>
    <w:basedOn w:val="a"/>
    <w:link w:val="a8"/>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af">
    <w:name w:val="footnote text"/>
    <w:basedOn w:val="a"/>
    <w:uiPriority w:val="99"/>
    <w:qFormat/>
    <w:pPr>
      <w:snapToGrid w:val="0"/>
      <w:jc w:val="left"/>
    </w:pPr>
    <w:rPr>
      <w:sz w:val="18"/>
      <w:szCs w:val="18"/>
    </w:rPr>
  </w:style>
  <w:style w:type="character" w:styleId="af0">
    <w:name w:val="endnote reference"/>
    <w:uiPriority w:val="99"/>
    <w:semiHidden/>
    <w:unhideWhenUsed/>
    <w:qFormat/>
    <w:rPr>
      <w:vertAlign w:val="superscript"/>
    </w:rPr>
  </w:style>
  <w:style w:type="character" w:styleId="af1">
    <w:name w:val="annotation reference"/>
    <w:basedOn w:val="a0"/>
    <w:uiPriority w:val="99"/>
    <w:semiHidden/>
    <w:unhideWhenUsed/>
    <w:qFormat/>
    <w:rPr>
      <w:sz w:val="21"/>
      <w:szCs w:val="21"/>
    </w:rPr>
  </w:style>
  <w:style w:type="character" w:styleId="af2">
    <w:name w:val="footnote reference"/>
    <w:uiPriority w:val="28"/>
    <w:qFormat/>
    <w:rPr>
      <w:vertAlign w:val="superscript"/>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尾注文本 字符"/>
    <w:basedOn w:val="a0"/>
    <w:link w:val="a7"/>
    <w:uiPriority w:val="99"/>
    <w:semiHidden/>
    <w:qFormat/>
  </w:style>
  <w:style w:type="character" w:customStyle="1" w:styleId="ae">
    <w:name w:val="页眉 字符"/>
    <w:link w:val="ad"/>
    <w:uiPriority w:val="99"/>
    <w:qFormat/>
    <w:rPr>
      <w:sz w:val="18"/>
      <w:szCs w:val="18"/>
    </w:rPr>
  </w:style>
  <w:style w:type="character" w:customStyle="1" w:styleId="ac">
    <w:name w:val="页脚 字符"/>
    <w:link w:val="ab"/>
    <w:uiPriority w:val="99"/>
    <w:qFormat/>
    <w:rPr>
      <w:sz w:val="18"/>
      <w:szCs w:val="18"/>
    </w:rPr>
  </w:style>
  <w:style w:type="character" w:customStyle="1" w:styleId="a6">
    <w:name w:val="批注文字 字符"/>
    <w:basedOn w:val="a0"/>
    <w:link w:val="a4"/>
    <w:uiPriority w:val="99"/>
    <w:semiHidden/>
    <w:qFormat/>
    <w:rPr>
      <w:kern w:val="2"/>
      <w:sz w:val="21"/>
      <w:szCs w:val="22"/>
      <w:lang w:val="en-US" w:bidi="ar-SA"/>
    </w:rPr>
  </w:style>
  <w:style w:type="character" w:customStyle="1" w:styleId="a5">
    <w:name w:val="批注主题 字符"/>
    <w:basedOn w:val="a6"/>
    <w:link w:val="a3"/>
    <w:uiPriority w:val="99"/>
    <w:semiHidden/>
    <w:qFormat/>
    <w:rPr>
      <w:b/>
      <w:bCs/>
      <w:kern w:val="2"/>
      <w:sz w:val="21"/>
      <w:szCs w:val="22"/>
      <w:lang w:val="en-US" w:bidi="ar-SA"/>
    </w:rPr>
  </w:style>
  <w:style w:type="character" w:customStyle="1" w:styleId="aa">
    <w:name w:val="批注框文本 字符"/>
    <w:basedOn w:val="a0"/>
    <w:link w:val="a9"/>
    <w:uiPriority w:val="99"/>
    <w:semiHidden/>
    <w:qFormat/>
    <w:rPr>
      <w:kern w:val="2"/>
      <w:sz w:val="18"/>
      <w:szCs w:val="18"/>
      <w:lang w:val="en-US" w:bidi="ar-SA"/>
    </w:rPr>
  </w:style>
  <w:style w:type="character" w:styleId="af4">
    <w:name w:val="Hyperlink"/>
    <w:basedOn w:val="a0"/>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9150436">
      <w:bodyDiv w:val="1"/>
      <w:marLeft w:val="0"/>
      <w:marRight w:val="0"/>
      <w:marTop w:val="0"/>
      <w:marBottom w:val="0"/>
      <w:divBdr>
        <w:top w:val="none" w:sz="0" w:space="0" w:color="auto"/>
        <w:left w:val="none" w:sz="0" w:space="0" w:color="auto"/>
        <w:bottom w:val="none" w:sz="0" w:space="0" w:color="auto"/>
        <w:right w:val="none" w:sz="0" w:space="0" w:color="auto"/>
      </w:divBdr>
    </w:div>
    <w:div w:id="1092581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6E7C13-DFFA-480A-A41D-31AC7C22B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156</Words>
  <Characters>894</Characters>
  <Application>Microsoft Office Word</Application>
  <DocSecurity>0</DocSecurity>
  <Lines>7</Lines>
  <Paragraphs>2</Paragraphs>
  <ScaleCrop>false</ScaleCrop>
  <Company>http://www.deepbbs.org</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Pam</cp:lastModifiedBy>
  <cp:revision>8</cp:revision>
  <cp:lastPrinted>2014-10-08T02:48:00Z</cp:lastPrinted>
  <dcterms:created xsi:type="dcterms:W3CDTF">2020-10-26T05:06:00Z</dcterms:created>
  <dcterms:modified xsi:type="dcterms:W3CDTF">2020-12-10T07:01:00Z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A36122288</vt:lpwstr>
  </property>
  <property fmtid="{D5CDD505-2E9C-101B-9397-08002B2CF9AE}" pid="3" name="Version">
    <vt:lpwstr>0.7</vt:lpwstr>
  </property>
  <property fmtid="{D5CDD505-2E9C-101B-9397-08002B2CF9AE}" pid="4" name="Last Modified">
    <vt:lpwstr>19 Mar 2018</vt:lpwstr>
  </property>
  <property fmtid="{D5CDD505-2E9C-101B-9397-08002B2CF9AE}" pid="5" name="Matter Number">
    <vt:lpwstr>L-269343</vt:lpwstr>
  </property>
  <property fmtid="{D5CDD505-2E9C-101B-9397-08002B2CF9AE}" pid="6" name="Client Code">
    <vt:lpwstr>10253201</vt:lpwstr>
  </property>
  <property fmtid="{D5CDD505-2E9C-101B-9397-08002B2CF9AE}" pid="7" name="Mode">
    <vt:lpwstr>SendAs</vt:lpwstr>
  </property>
  <property fmtid="{D5CDD505-2E9C-101B-9397-08002B2CF9AE}" pid="8" name="DEDocumentLocation">
    <vt:lpwstr>C:\Users\aqlee\AppData\Local\Linklaters\DocExplorer\Attachments\180320_Ladder_Final Simple Case Publicity Form_CHN.docx</vt:lpwstr>
  </property>
  <property fmtid="{D5CDD505-2E9C-101B-9397-08002B2CF9AE}" pid="9" name="ObjectID">
    <vt:lpwstr>09001dc891a1b8db</vt:lpwstr>
  </property>
  <property fmtid="{D5CDD505-2E9C-101B-9397-08002B2CF9AE}" pid="10" name="KSOProductBuildVer">
    <vt:lpwstr>2052-10.1.0.7469</vt:lpwstr>
  </property>
</Properties>
</file>