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B9C" w:rsidRPr="00DE58FA" w:rsidRDefault="008A1B9C" w:rsidP="008A1B9C">
      <w:pPr>
        <w:spacing w:line="440" w:lineRule="exact"/>
        <w:jc w:val="center"/>
        <w:rPr>
          <w:rFonts w:ascii="Times New Roman" w:eastAsia="仿宋" w:hAnsi="Times New Roman"/>
          <w:b/>
          <w:sz w:val="22"/>
        </w:rPr>
      </w:pPr>
      <w:bookmarkStart w:id="0" w:name="_GoBack"/>
      <w:bookmarkEnd w:id="0"/>
      <w:r w:rsidRPr="00DE58FA">
        <w:rPr>
          <w:rFonts w:ascii="Times New Roman" w:eastAsia="仿宋" w:hAnsi="Times New Roman"/>
          <w:b/>
          <w:sz w:val="22"/>
        </w:rPr>
        <w:t>经营者集中简易案件公示表</w:t>
      </w:r>
    </w:p>
    <w:p w:rsidR="00380694" w:rsidRPr="00DE58FA" w:rsidRDefault="00380694" w:rsidP="00380694">
      <w:pPr>
        <w:spacing w:line="440" w:lineRule="exact"/>
        <w:jc w:val="center"/>
        <w:rPr>
          <w:rFonts w:ascii="Times New Roman" w:eastAsia="仿宋" w:hAnsi="Times New Roman"/>
          <w:b/>
          <w:sz w:val="22"/>
        </w:rPr>
      </w:pPr>
    </w:p>
    <w:tbl>
      <w:tblPr>
        <w:tblW w:w="92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09"/>
        <w:gridCol w:w="1843"/>
        <w:gridCol w:w="5568"/>
      </w:tblGrid>
      <w:tr w:rsidR="008A1B9C" w:rsidRPr="00DE58FA" w:rsidTr="000C5EB0">
        <w:trPr>
          <w:trHeight w:val="812"/>
          <w:jc w:val="center"/>
        </w:trPr>
        <w:tc>
          <w:tcPr>
            <w:tcW w:w="1809" w:type="dxa"/>
            <w:shd w:val="clear" w:color="auto" w:fill="D9D9D9"/>
          </w:tcPr>
          <w:p w:rsidR="008A1B9C" w:rsidRPr="00DE58FA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2"/>
              </w:rPr>
            </w:pPr>
            <w:r w:rsidRPr="00DE58FA">
              <w:rPr>
                <w:rFonts w:ascii="Times New Roman" w:eastAsia="仿宋" w:hAnsi="Times New Roman"/>
                <w:b/>
                <w:sz w:val="22"/>
              </w:rPr>
              <w:t>案件名称</w:t>
            </w:r>
          </w:p>
        </w:tc>
        <w:tc>
          <w:tcPr>
            <w:tcW w:w="7411" w:type="dxa"/>
            <w:gridSpan w:val="2"/>
          </w:tcPr>
          <w:p w:rsidR="008A1B9C" w:rsidRPr="00DE58FA" w:rsidRDefault="001C5D96" w:rsidP="004C5D65">
            <w:p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sz w:val="22"/>
              </w:rPr>
              <w:t>库柏（中国）投资有限公司收购环宇集团浙江高科股份有限公司股权案</w:t>
            </w:r>
          </w:p>
        </w:tc>
      </w:tr>
      <w:tr w:rsidR="008A1B9C" w:rsidRPr="00DE58FA" w:rsidTr="000C5EB0">
        <w:trPr>
          <w:trHeight w:val="1261"/>
          <w:jc w:val="center"/>
        </w:trPr>
        <w:tc>
          <w:tcPr>
            <w:tcW w:w="1809" w:type="dxa"/>
            <w:shd w:val="clear" w:color="auto" w:fill="D9D9D9"/>
          </w:tcPr>
          <w:p w:rsidR="008A1B9C" w:rsidRPr="00DE58FA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2"/>
              </w:rPr>
            </w:pPr>
            <w:r w:rsidRPr="00DE58FA">
              <w:rPr>
                <w:rFonts w:ascii="Times New Roman" w:eastAsia="仿宋" w:hAnsi="Times New Roman"/>
                <w:b/>
                <w:sz w:val="22"/>
              </w:rPr>
              <w:t>交易概况（限</w:t>
            </w:r>
            <w:r w:rsidRPr="00DE58FA">
              <w:rPr>
                <w:rFonts w:ascii="Times New Roman" w:eastAsia="仿宋" w:hAnsi="Times New Roman"/>
                <w:b/>
                <w:sz w:val="22"/>
              </w:rPr>
              <w:t>200</w:t>
            </w:r>
            <w:r w:rsidRPr="00DE58FA">
              <w:rPr>
                <w:rFonts w:ascii="Times New Roman" w:eastAsia="仿宋" w:hAnsi="Times New Roman"/>
                <w:b/>
                <w:sz w:val="22"/>
              </w:rPr>
              <w:t>字内）</w:t>
            </w:r>
          </w:p>
        </w:tc>
        <w:tc>
          <w:tcPr>
            <w:tcW w:w="7411" w:type="dxa"/>
            <w:gridSpan w:val="2"/>
          </w:tcPr>
          <w:p w:rsidR="00DA5E6C" w:rsidRPr="00DE58FA" w:rsidRDefault="001C5D96" w:rsidP="00A67507">
            <w:p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sz w:val="22"/>
              </w:rPr>
              <w:t>伊顿股份公司（</w:t>
            </w:r>
            <w:r w:rsidRPr="00DE58FA">
              <w:rPr>
                <w:rFonts w:ascii="Times New Roman" w:eastAsia="仿宋" w:hAnsi="Times New Roman"/>
                <w:sz w:val="22"/>
              </w:rPr>
              <w:t>Eaton Corporation plc.</w:t>
            </w:r>
            <w:r w:rsidRPr="00DE58FA">
              <w:rPr>
                <w:rFonts w:ascii="Times New Roman" w:eastAsia="仿宋" w:hAnsi="Times New Roman"/>
                <w:sz w:val="22"/>
              </w:rPr>
              <w:t>，</w:t>
            </w:r>
            <w:r w:rsidRPr="00DE58FA">
              <w:rPr>
                <w:rFonts w:ascii="Times New Roman" w:eastAsia="仿宋" w:hAnsi="Times New Roman"/>
                <w:sz w:val="22"/>
              </w:rPr>
              <w:t>“</w:t>
            </w:r>
            <w:r w:rsidRPr="00DE58FA">
              <w:rPr>
                <w:rFonts w:ascii="Times New Roman" w:eastAsia="仿宋" w:hAnsi="Times New Roman"/>
                <w:b/>
                <w:sz w:val="22"/>
              </w:rPr>
              <w:t>伊顿</w:t>
            </w:r>
            <w:r w:rsidRPr="00DE58FA">
              <w:rPr>
                <w:rFonts w:ascii="Times New Roman" w:eastAsia="仿宋" w:hAnsi="Times New Roman"/>
                <w:sz w:val="22"/>
              </w:rPr>
              <w:t>”</w:t>
            </w:r>
            <w:r w:rsidRPr="00DE58FA">
              <w:rPr>
                <w:rFonts w:ascii="Times New Roman" w:eastAsia="仿宋" w:hAnsi="Times New Roman"/>
                <w:sz w:val="22"/>
              </w:rPr>
              <w:t>）拟通过全资子公司库柏（中国）投资有限公司（</w:t>
            </w:r>
            <w:r w:rsidRPr="00DE58FA">
              <w:rPr>
                <w:rFonts w:ascii="Times New Roman" w:eastAsia="仿宋" w:hAnsi="Times New Roman"/>
                <w:sz w:val="22"/>
              </w:rPr>
              <w:t>“</w:t>
            </w:r>
            <w:r w:rsidRPr="00DE58FA">
              <w:rPr>
                <w:rFonts w:ascii="Times New Roman" w:eastAsia="仿宋" w:hAnsi="Times New Roman"/>
                <w:b/>
                <w:sz w:val="22"/>
              </w:rPr>
              <w:t>库柏中国</w:t>
            </w:r>
            <w:r w:rsidRPr="00DE58FA">
              <w:rPr>
                <w:rFonts w:ascii="Times New Roman" w:eastAsia="仿宋" w:hAnsi="Times New Roman"/>
                <w:sz w:val="22"/>
              </w:rPr>
              <w:t>”</w:t>
            </w:r>
            <w:r w:rsidRPr="00DE58FA">
              <w:rPr>
                <w:rFonts w:ascii="Times New Roman" w:eastAsia="仿宋" w:hAnsi="Times New Roman"/>
                <w:sz w:val="22"/>
              </w:rPr>
              <w:t>）向</w:t>
            </w:r>
            <w:r w:rsidRPr="00DE58FA">
              <w:rPr>
                <w:rFonts w:ascii="Times New Roman" w:eastAsia="仿宋" w:hAnsi="Times New Roman"/>
                <w:bCs/>
                <w:kern w:val="0"/>
                <w:sz w:val="22"/>
              </w:rPr>
              <w:t>环宇集团有限公司（</w:t>
            </w:r>
            <w:r w:rsidRPr="00DE58FA">
              <w:rPr>
                <w:rFonts w:ascii="Times New Roman" w:eastAsia="仿宋" w:hAnsi="Times New Roman"/>
                <w:bCs/>
                <w:kern w:val="0"/>
                <w:sz w:val="22"/>
              </w:rPr>
              <w:t>“</w:t>
            </w:r>
            <w:r w:rsidRPr="00DE58FA">
              <w:rPr>
                <w:rFonts w:ascii="Times New Roman" w:eastAsia="仿宋" w:hAnsi="Times New Roman"/>
                <w:b/>
                <w:sz w:val="22"/>
              </w:rPr>
              <w:t>环宇集团</w:t>
            </w:r>
            <w:r w:rsidRPr="00DE58FA">
              <w:rPr>
                <w:rFonts w:ascii="Times New Roman" w:eastAsia="仿宋" w:hAnsi="Times New Roman"/>
                <w:sz w:val="22"/>
              </w:rPr>
              <w:t>”</w:t>
            </w:r>
            <w:r w:rsidRPr="00DE58FA">
              <w:rPr>
                <w:rFonts w:ascii="Times New Roman" w:eastAsia="仿宋" w:hAnsi="Times New Roman"/>
                <w:sz w:val="22"/>
              </w:rPr>
              <w:t>）收购环宇集团浙江高科股份有限公司（</w:t>
            </w:r>
            <w:r w:rsidRPr="00DE58FA">
              <w:rPr>
                <w:rFonts w:ascii="Times New Roman" w:eastAsia="仿宋" w:hAnsi="Times New Roman"/>
                <w:sz w:val="22"/>
              </w:rPr>
              <w:t>“</w:t>
            </w:r>
            <w:r w:rsidRPr="00DE58FA">
              <w:rPr>
                <w:rFonts w:ascii="Times New Roman" w:eastAsia="仿宋" w:hAnsi="Times New Roman"/>
                <w:b/>
                <w:sz w:val="22"/>
              </w:rPr>
              <w:t>目标公司</w:t>
            </w:r>
            <w:r w:rsidRPr="00DE58FA">
              <w:rPr>
                <w:rFonts w:ascii="Times New Roman" w:eastAsia="仿宋" w:hAnsi="Times New Roman"/>
                <w:sz w:val="22"/>
              </w:rPr>
              <w:t>”</w:t>
            </w:r>
            <w:r w:rsidRPr="00DE58FA">
              <w:rPr>
                <w:rFonts w:ascii="Times New Roman" w:eastAsia="仿宋" w:hAnsi="Times New Roman"/>
                <w:sz w:val="22"/>
              </w:rPr>
              <w:t>）</w:t>
            </w:r>
            <w:r w:rsidRPr="00DE58FA">
              <w:rPr>
                <w:rFonts w:ascii="Times New Roman" w:eastAsia="仿宋" w:hAnsi="Times New Roman"/>
                <w:sz w:val="22"/>
              </w:rPr>
              <w:t>50%</w:t>
            </w:r>
            <w:r w:rsidRPr="00DE58FA">
              <w:rPr>
                <w:rFonts w:ascii="Times New Roman" w:eastAsia="仿宋" w:hAnsi="Times New Roman"/>
                <w:sz w:val="22"/>
              </w:rPr>
              <w:t>的股权</w:t>
            </w:r>
            <w:r w:rsidR="006B05AB" w:rsidRPr="00DE58FA">
              <w:rPr>
                <w:rFonts w:ascii="Times New Roman" w:eastAsia="仿宋" w:hAnsi="Times New Roman"/>
                <w:sz w:val="22"/>
              </w:rPr>
              <w:t>（</w:t>
            </w:r>
            <w:r w:rsidR="006B05AB" w:rsidRPr="00DE58FA">
              <w:rPr>
                <w:rFonts w:ascii="Times New Roman" w:eastAsia="仿宋" w:hAnsi="Times New Roman"/>
                <w:sz w:val="22"/>
              </w:rPr>
              <w:t>“</w:t>
            </w:r>
            <w:r w:rsidR="006B05AB" w:rsidRPr="00DE58FA">
              <w:rPr>
                <w:rFonts w:ascii="Times New Roman" w:eastAsia="仿宋" w:hAnsi="Times New Roman"/>
                <w:b/>
                <w:sz w:val="22"/>
              </w:rPr>
              <w:t>本次交易</w:t>
            </w:r>
            <w:r w:rsidR="006B05AB" w:rsidRPr="00DE58FA">
              <w:rPr>
                <w:rFonts w:ascii="Times New Roman" w:eastAsia="仿宋" w:hAnsi="Times New Roman"/>
                <w:sz w:val="22"/>
              </w:rPr>
              <w:t>”</w:t>
            </w:r>
            <w:r w:rsidR="006B05AB" w:rsidRPr="00DE58FA">
              <w:rPr>
                <w:rFonts w:ascii="Times New Roman" w:eastAsia="仿宋" w:hAnsi="Times New Roman"/>
                <w:sz w:val="22"/>
              </w:rPr>
              <w:t>）</w:t>
            </w:r>
            <w:r w:rsidRPr="00DE58FA">
              <w:rPr>
                <w:rFonts w:ascii="Times New Roman" w:eastAsia="仿宋" w:hAnsi="Times New Roman"/>
                <w:sz w:val="22"/>
              </w:rPr>
              <w:t>。本次交易</w:t>
            </w:r>
            <w:r w:rsidR="0034397F" w:rsidRPr="00DE58FA">
              <w:rPr>
                <w:rFonts w:ascii="Times New Roman" w:eastAsia="仿宋" w:hAnsi="Times New Roman"/>
                <w:sz w:val="22"/>
              </w:rPr>
              <w:t>交割</w:t>
            </w:r>
            <w:r w:rsidRPr="00DE58FA">
              <w:rPr>
                <w:rFonts w:ascii="Times New Roman" w:eastAsia="仿宋" w:hAnsi="Times New Roman"/>
                <w:sz w:val="22"/>
              </w:rPr>
              <w:t>前，目标公司由环宇集团全资持有。本次交易</w:t>
            </w:r>
            <w:r w:rsidR="0034397F" w:rsidRPr="00DE58FA">
              <w:rPr>
                <w:rFonts w:ascii="Times New Roman" w:eastAsia="仿宋" w:hAnsi="Times New Roman"/>
                <w:sz w:val="22"/>
              </w:rPr>
              <w:t>交割</w:t>
            </w:r>
            <w:r w:rsidRPr="00DE58FA">
              <w:rPr>
                <w:rFonts w:ascii="Times New Roman" w:eastAsia="仿宋" w:hAnsi="Times New Roman"/>
                <w:sz w:val="22"/>
              </w:rPr>
              <w:t>后，</w:t>
            </w:r>
            <w:r w:rsidR="00A67507" w:rsidRPr="00DE58FA">
              <w:rPr>
                <w:rFonts w:ascii="Times New Roman" w:eastAsia="仿宋" w:hAnsi="Times New Roman"/>
                <w:sz w:val="22"/>
              </w:rPr>
              <w:t>伊顿和环宇集团将分别持有目标公司</w:t>
            </w:r>
            <w:r w:rsidR="00A67507" w:rsidRPr="00DE58FA">
              <w:rPr>
                <w:rFonts w:ascii="Times New Roman" w:eastAsia="仿宋" w:hAnsi="Times New Roman"/>
                <w:sz w:val="22"/>
              </w:rPr>
              <w:t>50%</w:t>
            </w:r>
            <w:r w:rsidR="00A67507" w:rsidRPr="00DE58FA">
              <w:rPr>
                <w:rFonts w:ascii="Times New Roman" w:eastAsia="仿宋" w:hAnsi="Times New Roman"/>
                <w:sz w:val="22"/>
              </w:rPr>
              <w:t>的股份</w:t>
            </w:r>
            <w:r w:rsidRPr="00DE58FA">
              <w:rPr>
                <w:rFonts w:ascii="Times New Roman" w:eastAsia="仿宋" w:hAnsi="Times New Roman"/>
                <w:sz w:val="22"/>
              </w:rPr>
              <w:t>。</w:t>
            </w:r>
          </w:p>
        </w:tc>
      </w:tr>
      <w:tr w:rsidR="00AB2771" w:rsidRPr="00DE58FA" w:rsidTr="00270EF3">
        <w:trPr>
          <w:trHeight w:val="948"/>
          <w:jc w:val="center"/>
        </w:trPr>
        <w:tc>
          <w:tcPr>
            <w:tcW w:w="1809" w:type="dxa"/>
            <w:vMerge w:val="restart"/>
            <w:shd w:val="clear" w:color="auto" w:fill="D9D9D9"/>
          </w:tcPr>
          <w:p w:rsidR="00AB2771" w:rsidRPr="00DE58FA" w:rsidRDefault="00AB2771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2"/>
              </w:rPr>
            </w:pPr>
            <w:r w:rsidRPr="00DE58FA">
              <w:rPr>
                <w:rFonts w:ascii="Times New Roman" w:eastAsia="仿宋" w:hAnsi="Times New Roman"/>
                <w:b/>
                <w:sz w:val="22"/>
              </w:rPr>
              <w:t>参与集中的经营者简介</w:t>
            </w:r>
          </w:p>
        </w:tc>
        <w:tc>
          <w:tcPr>
            <w:tcW w:w="1843" w:type="dxa"/>
          </w:tcPr>
          <w:p w:rsidR="00673A7D" w:rsidRPr="00DE58FA" w:rsidRDefault="001C5D96" w:rsidP="001C5D96">
            <w:p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sz w:val="22"/>
              </w:rPr>
              <w:t>库柏中国</w:t>
            </w:r>
          </w:p>
        </w:tc>
        <w:tc>
          <w:tcPr>
            <w:tcW w:w="5568" w:type="dxa"/>
          </w:tcPr>
          <w:p w:rsidR="00673A7D" w:rsidRPr="00DE58FA" w:rsidRDefault="001C5D96" w:rsidP="0034397F">
            <w:pPr>
              <w:adjustRightInd w:val="0"/>
              <w:snapToGrid w:val="0"/>
              <w:rPr>
                <w:rFonts w:ascii="Times New Roman" w:eastAsia="仿宋" w:hAnsi="Times New Roman"/>
                <w:bCs/>
                <w:sz w:val="22"/>
              </w:rPr>
            </w:pPr>
            <w:r w:rsidRPr="00DE58FA">
              <w:rPr>
                <w:rFonts w:ascii="Times New Roman" w:eastAsia="仿宋" w:hAnsi="Times New Roman"/>
                <w:bCs/>
                <w:sz w:val="22"/>
              </w:rPr>
              <w:t>库柏中国成立于</w:t>
            </w:r>
            <w:r w:rsidRPr="00DE58FA">
              <w:rPr>
                <w:rFonts w:ascii="Times New Roman" w:eastAsia="仿宋" w:hAnsi="Times New Roman"/>
                <w:bCs/>
                <w:sz w:val="22"/>
              </w:rPr>
              <w:t>2004</w:t>
            </w:r>
            <w:r w:rsidRPr="00DE58FA">
              <w:rPr>
                <w:rFonts w:ascii="Times New Roman" w:eastAsia="仿宋" w:hAnsi="Times New Roman"/>
                <w:bCs/>
                <w:sz w:val="22"/>
              </w:rPr>
              <w:t>年，是伊顿间接控股的全资子公司。</w:t>
            </w:r>
          </w:p>
          <w:p w:rsidR="00673A7D" w:rsidRPr="00DE58FA" w:rsidRDefault="00673A7D" w:rsidP="0034397F">
            <w:pPr>
              <w:adjustRightInd w:val="0"/>
              <w:snapToGrid w:val="0"/>
              <w:rPr>
                <w:rFonts w:ascii="Times New Roman" w:eastAsia="仿宋" w:hAnsi="Times New Roman"/>
                <w:bCs/>
                <w:sz w:val="22"/>
              </w:rPr>
            </w:pPr>
          </w:p>
          <w:p w:rsidR="00C01940" w:rsidRPr="00DE58FA" w:rsidRDefault="00C01940" w:rsidP="00C01940">
            <w:pPr>
              <w:adjustRightInd w:val="0"/>
              <w:snapToGrid w:val="0"/>
              <w:rPr>
                <w:rFonts w:ascii="Times New Roman" w:eastAsia="仿宋" w:hAnsi="Times New Roman"/>
                <w:bCs/>
                <w:sz w:val="22"/>
              </w:rPr>
            </w:pPr>
            <w:r w:rsidRPr="00DE58FA">
              <w:rPr>
                <w:rFonts w:ascii="Times New Roman" w:eastAsia="仿宋" w:hAnsi="Times New Roman"/>
                <w:sz w:val="22"/>
              </w:rPr>
              <w:t>伊顿于</w:t>
            </w:r>
            <w:r w:rsidRPr="00DE58FA">
              <w:rPr>
                <w:rFonts w:ascii="Times New Roman" w:eastAsia="仿宋" w:hAnsi="Times New Roman"/>
                <w:sz w:val="22"/>
              </w:rPr>
              <w:t>2012</w:t>
            </w:r>
            <w:r w:rsidRPr="00DE58FA">
              <w:rPr>
                <w:rFonts w:ascii="Times New Roman" w:eastAsia="仿宋" w:hAnsi="Times New Roman"/>
                <w:sz w:val="22"/>
              </w:rPr>
              <w:t>年在爱尔兰注册成立。伊顿的主营业务部门包括：</w:t>
            </w:r>
          </w:p>
          <w:p w:rsidR="00C01940" w:rsidRPr="00DE58FA" w:rsidRDefault="00C01940" w:rsidP="00C01940">
            <w:pPr>
              <w:numPr>
                <w:ilvl w:val="0"/>
                <w:numId w:val="14"/>
              </w:num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b/>
                <w:sz w:val="22"/>
              </w:rPr>
              <w:t>电气业务部门</w:t>
            </w:r>
            <w:r w:rsidRPr="00DE58FA">
              <w:rPr>
                <w:rFonts w:ascii="Times New Roman" w:eastAsia="仿宋" w:hAnsi="Times New Roman"/>
                <w:sz w:val="22"/>
              </w:rPr>
              <w:t>：主要包括生产销售电气零部件、工业零部件、配电和电力集成、家用产品、单相及三相电能质量产品、以及生产和销售的危险作业电气设备、应急照明、火险探测、本质安全型防爆器材和结构支持系统。</w:t>
            </w:r>
          </w:p>
          <w:p w:rsidR="00C01940" w:rsidRPr="00DE58FA" w:rsidRDefault="00C01940" w:rsidP="00C01940">
            <w:pPr>
              <w:numPr>
                <w:ilvl w:val="0"/>
                <w:numId w:val="14"/>
              </w:num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b/>
                <w:sz w:val="22"/>
              </w:rPr>
              <w:t>液压部门：</w:t>
            </w:r>
            <w:r w:rsidRPr="00DE58FA">
              <w:rPr>
                <w:rFonts w:ascii="Times New Roman" w:eastAsia="仿宋" w:hAnsi="Times New Roman"/>
                <w:sz w:val="22"/>
              </w:rPr>
              <w:t>包括工业和移动设备的液压零部件、系统和服务。</w:t>
            </w:r>
          </w:p>
          <w:p w:rsidR="00C01940" w:rsidRPr="00DE58FA" w:rsidRDefault="00C01940" w:rsidP="00C01940">
            <w:pPr>
              <w:numPr>
                <w:ilvl w:val="0"/>
                <w:numId w:val="14"/>
              </w:num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b/>
                <w:sz w:val="22"/>
              </w:rPr>
              <w:t>宇航部门：</w:t>
            </w:r>
            <w:r w:rsidRPr="00DE58FA">
              <w:rPr>
                <w:rFonts w:ascii="Times New Roman" w:eastAsia="仿宋" w:hAnsi="Times New Roman"/>
                <w:sz w:val="22"/>
              </w:rPr>
              <w:t>供应商用和军用宇航燃料、液压和气体系统。</w:t>
            </w:r>
          </w:p>
          <w:p w:rsidR="00C01940" w:rsidRPr="00DE58FA" w:rsidRDefault="00C01940" w:rsidP="00C01940">
            <w:pPr>
              <w:numPr>
                <w:ilvl w:val="0"/>
                <w:numId w:val="14"/>
              </w:num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b/>
                <w:sz w:val="22"/>
              </w:rPr>
              <w:t>车辆部门：</w:t>
            </w:r>
            <w:r w:rsidRPr="00DE58FA">
              <w:rPr>
                <w:rFonts w:ascii="Times New Roman" w:eastAsia="仿宋" w:hAnsi="Times New Roman"/>
                <w:sz w:val="22"/>
              </w:rPr>
              <w:t>包括设计、生产、销售和供应动力总成、动力传动系统以及用于减排并提高轿车、轻型卡车和商用车的燃料能效、稳定性、性能和安全性的关键零部件。</w:t>
            </w:r>
          </w:p>
          <w:p w:rsidR="00673A7D" w:rsidRPr="00C01940" w:rsidRDefault="00673A7D" w:rsidP="0034397F">
            <w:pPr>
              <w:adjustRightInd w:val="0"/>
              <w:snapToGrid w:val="0"/>
              <w:rPr>
                <w:rFonts w:ascii="Times New Roman" w:eastAsia="仿宋" w:hAnsi="Times New Roman"/>
                <w:bCs/>
                <w:sz w:val="22"/>
              </w:rPr>
            </w:pPr>
          </w:p>
          <w:p w:rsidR="00AB2771" w:rsidRPr="00DE58FA" w:rsidRDefault="0034397F" w:rsidP="0034397F">
            <w:pPr>
              <w:adjustRightInd w:val="0"/>
              <w:snapToGrid w:val="0"/>
              <w:rPr>
                <w:rFonts w:ascii="Times New Roman" w:eastAsia="仿宋" w:hAnsi="Times New Roman"/>
                <w:bCs/>
                <w:sz w:val="22"/>
              </w:rPr>
            </w:pPr>
            <w:r w:rsidRPr="00DE58FA">
              <w:rPr>
                <w:rFonts w:ascii="Times New Roman" w:eastAsia="仿宋" w:hAnsi="Times New Roman"/>
                <w:bCs/>
                <w:sz w:val="22"/>
              </w:rPr>
              <w:t>本次交易仅涉及伊顿的电气业务。</w:t>
            </w:r>
          </w:p>
        </w:tc>
      </w:tr>
      <w:tr w:rsidR="001C5D96" w:rsidRPr="00DE58FA" w:rsidTr="003505EC">
        <w:trPr>
          <w:trHeight w:val="1004"/>
          <w:jc w:val="center"/>
        </w:trPr>
        <w:tc>
          <w:tcPr>
            <w:tcW w:w="1809" w:type="dxa"/>
            <w:vMerge/>
            <w:shd w:val="clear" w:color="auto" w:fill="D9D9D9"/>
          </w:tcPr>
          <w:p w:rsidR="001C5D96" w:rsidRPr="00DE58FA" w:rsidRDefault="001C5D96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2"/>
              </w:rPr>
            </w:pPr>
          </w:p>
        </w:tc>
        <w:tc>
          <w:tcPr>
            <w:tcW w:w="1843" w:type="dxa"/>
            <w:vAlign w:val="center"/>
          </w:tcPr>
          <w:p w:rsidR="001C5D96" w:rsidRPr="00DE58FA" w:rsidRDefault="001C5D96" w:rsidP="00025FC3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2"/>
                <w:lang w:val="en-GB"/>
              </w:rPr>
            </w:pPr>
            <w:r w:rsidRPr="00DE58FA">
              <w:rPr>
                <w:rFonts w:ascii="Times New Roman" w:eastAsia="仿宋" w:hAnsi="Times New Roman"/>
                <w:bCs/>
                <w:kern w:val="0"/>
                <w:sz w:val="22"/>
              </w:rPr>
              <w:t>环宇集团</w:t>
            </w:r>
          </w:p>
        </w:tc>
        <w:tc>
          <w:tcPr>
            <w:tcW w:w="5568" w:type="dxa"/>
          </w:tcPr>
          <w:p w:rsidR="001C5D96" w:rsidRPr="00DE58FA" w:rsidRDefault="001C5D96" w:rsidP="00025FC3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bCs/>
                <w:kern w:val="0"/>
                <w:sz w:val="22"/>
              </w:rPr>
            </w:pPr>
            <w:r w:rsidRPr="00DE58FA">
              <w:rPr>
                <w:rFonts w:ascii="Times New Roman" w:eastAsia="仿宋" w:hAnsi="Times New Roman"/>
                <w:bCs/>
                <w:kern w:val="0"/>
                <w:sz w:val="22"/>
              </w:rPr>
              <w:t>1996</w:t>
            </w:r>
            <w:r w:rsidRPr="00DE58FA">
              <w:rPr>
                <w:rFonts w:ascii="Times New Roman" w:eastAsia="仿宋" w:hAnsi="Times New Roman"/>
                <w:bCs/>
                <w:kern w:val="0"/>
                <w:sz w:val="22"/>
              </w:rPr>
              <w:t>年</w:t>
            </w:r>
            <w:r w:rsidRPr="00DE58FA">
              <w:rPr>
                <w:rFonts w:ascii="Times New Roman" w:eastAsia="仿宋" w:hAnsi="Times New Roman"/>
                <w:bCs/>
                <w:kern w:val="0"/>
                <w:sz w:val="22"/>
              </w:rPr>
              <w:t>11</w:t>
            </w:r>
            <w:r w:rsidRPr="00DE58FA">
              <w:rPr>
                <w:rFonts w:ascii="Times New Roman" w:eastAsia="仿宋" w:hAnsi="Times New Roman"/>
                <w:bCs/>
                <w:kern w:val="0"/>
                <w:sz w:val="22"/>
              </w:rPr>
              <w:t>月</w:t>
            </w:r>
            <w:r w:rsidRPr="00DE58FA">
              <w:rPr>
                <w:rFonts w:ascii="Times New Roman" w:eastAsia="仿宋" w:hAnsi="Times New Roman"/>
                <w:bCs/>
                <w:kern w:val="0"/>
                <w:sz w:val="22"/>
              </w:rPr>
              <w:t>13</w:t>
            </w:r>
            <w:r w:rsidRPr="00DE58FA">
              <w:rPr>
                <w:rFonts w:ascii="Times New Roman" w:eastAsia="仿宋" w:hAnsi="Times New Roman"/>
                <w:bCs/>
                <w:kern w:val="0"/>
                <w:sz w:val="22"/>
              </w:rPr>
              <w:t>日设立。</w:t>
            </w:r>
          </w:p>
          <w:p w:rsidR="001C5D96" w:rsidRPr="00DE58FA" w:rsidRDefault="001C5D96" w:rsidP="00025FC3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bCs/>
                <w:kern w:val="0"/>
                <w:sz w:val="22"/>
              </w:rPr>
            </w:pPr>
            <w:r w:rsidRPr="00DE58FA">
              <w:rPr>
                <w:rFonts w:ascii="Times New Roman" w:eastAsia="仿宋" w:hAnsi="Times New Roman"/>
                <w:bCs/>
                <w:kern w:val="0"/>
                <w:sz w:val="22"/>
              </w:rPr>
              <w:t>环宇集团主要在中国境内开展业务。环宇集团的业务涵盖以下领域：</w:t>
            </w:r>
            <w:r w:rsidR="0034397F" w:rsidRPr="00DE58FA">
              <w:rPr>
                <w:rFonts w:ascii="Times New Roman" w:eastAsia="仿宋" w:hAnsi="Times New Roman"/>
                <w:bCs/>
                <w:kern w:val="0"/>
                <w:sz w:val="22"/>
              </w:rPr>
              <w:t>调味品研发、生产以及销售，</w:t>
            </w:r>
            <w:r w:rsidRPr="00DE58FA">
              <w:rPr>
                <w:rFonts w:ascii="Times New Roman" w:eastAsia="仿宋" w:hAnsi="Times New Roman"/>
                <w:bCs/>
                <w:kern w:val="0"/>
                <w:sz w:val="22"/>
              </w:rPr>
              <w:t>高低压电气成套及控制设备</w:t>
            </w:r>
            <w:r w:rsidR="0034397F" w:rsidRPr="00DE58FA">
              <w:rPr>
                <w:rFonts w:ascii="Times New Roman" w:eastAsia="仿宋" w:hAnsi="Times New Roman"/>
                <w:bCs/>
                <w:kern w:val="0"/>
                <w:sz w:val="22"/>
              </w:rPr>
              <w:t>，</w:t>
            </w:r>
            <w:r w:rsidRPr="00DE58FA">
              <w:rPr>
                <w:rFonts w:ascii="Times New Roman" w:eastAsia="仿宋" w:hAnsi="Times New Roman"/>
                <w:bCs/>
                <w:kern w:val="0"/>
                <w:sz w:val="22"/>
              </w:rPr>
              <w:t>高低压</w:t>
            </w:r>
            <w:r w:rsidR="006B05AB" w:rsidRPr="00DE58FA">
              <w:rPr>
                <w:rFonts w:ascii="Times New Roman" w:eastAsia="仿宋" w:hAnsi="Times New Roman"/>
                <w:bCs/>
                <w:kern w:val="0"/>
                <w:sz w:val="22"/>
              </w:rPr>
              <w:t>电气</w:t>
            </w:r>
            <w:r w:rsidRPr="00DE58FA">
              <w:rPr>
                <w:rFonts w:ascii="Times New Roman" w:eastAsia="仿宋" w:hAnsi="Times New Roman"/>
                <w:bCs/>
                <w:kern w:val="0"/>
                <w:sz w:val="22"/>
              </w:rPr>
              <w:t>配件等电气产品生产与销售。</w:t>
            </w:r>
          </w:p>
          <w:p w:rsidR="001C5D96" w:rsidRPr="00DE58FA" w:rsidRDefault="001C5D96" w:rsidP="008C7BB8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bCs/>
                <w:kern w:val="0"/>
                <w:sz w:val="22"/>
              </w:rPr>
              <w:t>本次交易主要涉及环宇集团旗下的环宇集团浙江高科股份有限公司，该公司专注于低压</w:t>
            </w:r>
            <w:r w:rsidR="006B05AB" w:rsidRPr="00DE58FA">
              <w:rPr>
                <w:rFonts w:ascii="Times New Roman" w:eastAsia="仿宋" w:hAnsi="Times New Roman"/>
                <w:bCs/>
                <w:kern w:val="0"/>
                <w:sz w:val="22"/>
              </w:rPr>
              <w:t>电气</w:t>
            </w:r>
            <w:r w:rsidR="008C7BB8" w:rsidRPr="00DE58FA">
              <w:rPr>
                <w:rFonts w:ascii="Times New Roman" w:eastAsia="仿宋" w:hAnsi="Times New Roman"/>
                <w:bCs/>
                <w:kern w:val="0"/>
                <w:sz w:val="22"/>
              </w:rPr>
              <w:t>元件</w:t>
            </w:r>
            <w:r w:rsidRPr="00DE58FA">
              <w:rPr>
                <w:rFonts w:ascii="Times New Roman" w:eastAsia="仿宋" w:hAnsi="Times New Roman"/>
                <w:bCs/>
                <w:kern w:val="0"/>
                <w:sz w:val="22"/>
              </w:rPr>
              <w:t>的生产与销售，主要提供低压断路器与低压接触器等产品。</w:t>
            </w:r>
          </w:p>
        </w:tc>
      </w:tr>
      <w:tr w:rsidR="008A1B9C" w:rsidRPr="00DE58FA" w:rsidTr="000C5EB0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</w:tcPr>
          <w:p w:rsidR="008A1B9C" w:rsidRPr="00DE58FA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2"/>
              </w:rPr>
            </w:pPr>
            <w:r w:rsidRPr="00DE58FA">
              <w:rPr>
                <w:rFonts w:ascii="Times New Roman" w:eastAsia="仿宋" w:hAnsi="Times New Roman"/>
                <w:b/>
                <w:sz w:val="22"/>
              </w:rPr>
              <w:t>简易案件理由（可以单选，也可以多选）</w:t>
            </w:r>
          </w:p>
        </w:tc>
        <w:tc>
          <w:tcPr>
            <w:tcW w:w="7411" w:type="dxa"/>
            <w:gridSpan w:val="2"/>
          </w:tcPr>
          <w:p w:rsidR="008A1B9C" w:rsidRPr="00DE58FA" w:rsidRDefault="001C5D96" w:rsidP="001C5D96">
            <w:p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sz w:val="22"/>
              </w:rPr>
              <w:sym w:font="Wingdings" w:char="F0FE"/>
            </w:r>
            <w:r w:rsidR="008A1B9C" w:rsidRPr="00DE58FA">
              <w:rPr>
                <w:rFonts w:ascii="Times New Roman" w:eastAsia="仿宋" w:hAnsi="Times New Roman"/>
                <w:sz w:val="22"/>
              </w:rPr>
              <w:t>1</w:t>
            </w:r>
            <w:r w:rsidR="008A1B9C" w:rsidRPr="00DE58FA">
              <w:rPr>
                <w:rFonts w:ascii="Times New Roman" w:eastAsia="仿宋" w:hAnsi="Times New Roman"/>
                <w:sz w:val="22"/>
              </w:rPr>
              <w:t>、在同一相关市场，所有参与集中的经营者所占市场份额之和小于</w:t>
            </w:r>
            <w:r w:rsidR="008A1B9C" w:rsidRPr="00DE58FA">
              <w:rPr>
                <w:rFonts w:ascii="Times New Roman" w:eastAsia="仿宋" w:hAnsi="Times New Roman"/>
                <w:sz w:val="22"/>
              </w:rPr>
              <w:t>15%</w:t>
            </w:r>
            <w:r w:rsidR="008A1B9C" w:rsidRPr="00DE58FA">
              <w:rPr>
                <w:rFonts w:ascii="Times New Roman" w:eastAsia="仿宋" w:hAnsi="Times New Roman"/>
                <w:sz w:val="22"/>
              </w:rPr>
              <w:t>。</w:t>
            </w:r>
          </w:p>
        </w:tc>
      </w:tr>
      <w:tr w:rsidR="008A1B9C" w:rsidRPr="00DE58FA" w:rsidTr="000C5EB0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</w:tcPr>
          <w:p w:rsidR="008A1B9C" w:rsidRPr="00DE58FA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2"/>
              </w:rPr>
            </w:pPr>
          </w:p>
        </w:tc>
        <w:tc>
          <w:tcPr>
            <w:tcW w:w="7411" w:type="dxa"/>
            <w:gridSpan w:val="2"/>
          </w:tcPr>
          <w:p w:rsidR="008A1B9C" w:rsidRPr="00DE58FA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sz w:val="22"/>
              </w:rPr>
              <w:t>□2</w:t>
            </w:r>
            <w:r w:rsidRPr="00DE58FA">
              <w:rPr>
                <w:rFonts w:ascii="Times New Roman" w:eastAsia="仿宋" w:hAnsi="Times New Roman"/>
                <w:sz w:val="22"/>
              </w:rPr>
              <w:t>、存在上下游关系的参与集中的经营者，在上下游市场所占的市场份额均小于</w:t>
            </w:r>
            <w:r w:rsidRPr="00DE58FA">
              <w:rPr>
                <w:rFonts w:ascii="Times New Roman" w:eastAsia="仿宋" w:hAnsi="Times New Roman"/>
                <w:sz w:val="22"/>
              </w:rPr>
              <w:t>25%</w:t>
            </w:r>
            <w:r w:rsidRPr="00DE58FA">
              <w:rPr>
                <w:rFonts w:ascii="Times New Roman" w:eastAsia="仿宋" w:hAnsi="Times New Roman"/>
                <w:sz w:val="22"/>
              </w:rPr>
              <w:t>。</w:t>
            </w:r>
          </w:p>
        </w:tc>
      </w:tr>
      <w:tr w:rsidR="008A1B9C" w:rsidRPr="00DE58FA" w:rsidTr="000C5EB0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</w:tcPr>
          <w:p w:rsidR="008A1B9C" w:rsidRPr="00DE58FA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2"/>
              </w:rPr>
            </w:pPr>
          </w:p>
        </w:tc>
        <w:tc>
          <w:tcPr>
            <w:tcW w:w="7411" w:type="dxa"/>
            <w:gridSpan w:val="2"/>
          </w:tcPr>
          <w:p w:rsidR="008A1B9C" w:rsidRPr="00DE58FA" w:rsidRDefault="001C5D96" w:rsidP="001C5D96">
            <w:p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sz w:val="22"/>
              </w:rPr>
              <w:t>□</w:t>
            </w:r>
            <w:r w:rsidR="008A1B9C" w:rsidRPr="00DE58FA">
              <w:rPr>
                <w:rFonts w:ascii="Times New Roman" w:eastAsia="仿宋" w:hAnsi="Times New Roman"/>
                <w:sz w:val="22"/>
              </w:rPr>
              <w:t>3</w:t>
            </w:r>
            <w:r w:rsidR="008A1B9C" w:rsidRPr="00DE58FA">
              <w:rPr>
                <w:rFonts w:ascii="Times New Roman" w:eastAsia="仿宋" w:hAnsi="Times New Roman"/>
                <w:sz w:val="22"/>
              </w:rPr>
              <w:t>、不在同一相关市场、也不存在上下游关系的参与集中的经营者，在与交易有关的每个市场所占的份额均小于</w:t>
            </w:r>
            <w:r w:rsidR="008A1B9C" w:rsidRPr="00DE58FA">
              <w:rPr>
                <w:rFonts w:ascii="Times New Roman" w:eastAsia="仿宋" w:hAnsi="Times New Roman"/>
                <w:sz w:val="22"/>
              </w:rPr>
              <w:t>25%</w:t>
            </w:r>
            <w:r w:rsidR="008A1B9C" w:rsidRPr="00DE58FA">
              <w:rPr>
                <w:rFonts w:ascii="Times New Roman" w:eastAsia="仿宋" w:hAnsi="Times New Roman"/>
                <w:sz w:val="22"/>
              </w:rPr>
              <w:t>。</w:t>
            </w:r>
          </w:p>
        </w:tc>
      </w:tr>
      <w:tr w:rsidR="008A1B9C" w:rsidRPr="00DE58FA" w:rsidTr="000C5EB0">
        <w:trPr>
          <w:trHeight w:val="665"/>
          <w:jc w:val="center"/>
        </w:trPr>
        <w:tc>
          <w:tcPr>
            <w:tcW w:w="1809" w:type="dxa"/>
            <w:vMerge/>
            <w:shd w:val="clear" w:color="auto" w:fill="D9D9D9"/>
          </w:tcPr>
          <w:p w:rsidR="008A1B9C" w:rsidRPr="00DE58FA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2"/>
              </w:rPr>
            </w:pPr>
          </w:p>
        </w:tc>
        <w:tc>
          <w:tcPr>
            <w:tcW w:w="7411" w:type="dxa"/>
            <w:gridSpan w:val="2"/>
          </w:tcPr>
          <w:p w:rsidR="008A1B9C" w:rsidRPr="00DE58FA" w:rsidRDefault="001C5D96" w:rsidP="001C5D96">
            <w:p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sz w:val="22"/>
              </w:rPr>
              <w:t>□</w:t>
            </w:r>
            <w:r w:rsidR="008A1B9C" w:rsidRPr="00DE58FA">
              <w:rPr>
                <w:rFonts w:ascii="Times New Roman" w:eastAsia="仿宋" w:hAnsi="Times New Roman"/>
                <w:sz w:val="22"/>
              </w:rPr>
              <w:t>4</w:t>
            </w:r>
            <w:r w:rsidR="008A1B9C" w:rsidRPr="00DE58FA">
              <w:rPr>
                <w:rFonts w:ascii="Times New Roman" w:eastAsia="仿宋" w:hAnsi="Times New Roman"/>
                <w:sz w:val="22"/>
              </w:rPr>
              <w:t>、参与集中的经营者在中国境外设立合营企业，合营企业不在中国境内从事经济活动。</w:t>
            </w:r>
          </w:p>
        </w:tc>
      </w:tr>
      <w:tr w:rsidR="008A1B9C" w:rsidRPr="00DE58FA" w:rsidTr="000C5EB0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</w:tcPr>
          <w:p w:rsidR="008A1B9C" w:rsidRPr="00DE58FA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2"/>
              </w:rPr>
            </w:pPr>
          </w:p>
        </w:tc>
        <w:tc>
          <w:tcPr>
            <w:tcW w:w="7411" w:type="dxa"/>
            <w:gridSpan w:val="2"/>
          </w:tcPr>
          <w:p w:rsidR="008A1B9C" w:rsidRPr="00DE58FA" w:rsidRDefault="001C5D96" w:rsidP="001C5D96">
            <w:p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sz w:val="22"/>
              </w:rPr>
              <w:t>□</w:t>
            </w:r>
            <w:r w:rsidR="008A1B9C" w:rsidRPr="00DE58FA">
              <w:rPr>
                <w:rFonts w:ascii="Times New Roman" w:eastAsia="仿宋" w:hAnsi="Times New Roman"/>
                <w:sz w:val="22"/>
              </w:rPr>
              <w:t>5</w:t>
            </w:r>
            <w:r w:rsidR="008A1B9C" w:rsidRPr="00DE58FA">
              <w:rPr>
                <w:rFonts w:ascii="Times New Roman" w:eastAsia="仿宋" w:hAnsi="Times New Roman"/>
                <w:sz w:val="22"/>
              </w:rPr>
              <w:t>、参与集中的经营者收购境外企业股权或资产的，该境外企业不在中国境内从事经济活动。</w:t>
            </w:r>
          </w:p>
        </w:tc>
      </w:tr>
      <w:tr w:rsidR="008A1B9C" w:rsidRPr="00DE58FA" w:rsidTr="000C5EB0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</w:tcPr>
          <w:p w:rsidR="008A1B9C" w:rsidRPr="00DE58FA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2"/>
              </w:rPr>
            </w:pPr>
          </w:p>
        </w:tc>
        <w:tc>
          <w:tcPr>
            <w:tcW w:w="7411" w:type="dxa"/>
            <w:gridSpan w:val="2"/>
          </w:tcPr>
          <w:p w:rsidR="008A1B9C" w:rsidRPr="00DE58FA" w:rsidRDefault="001C5D96" w:rsidP="001C5D96">
            <w:p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sz w:val="22"/>
              </w:rPr>
              <w:t>□</w:t>
            </w:r>
            <w:r w:rsidR="008A1B9C" w:rsidRPr="00DE58FA">
              <w:rPr>
                <w:rFonts w:ascii="Times New Roman" w:eastAsia="仿宋" w:hAnsi="Times New Roman"/>
                <w:sz w:val="22"/>
              </w:rPr>
              <w:t>6</w:t>
            </w:r>
            <w:r w:rsidR="008A1B9C" w:rsidRPr="00DE58FA">
              <w:rPr>
                <w:rFonts w:ascii="Times New Roman" w:eastAsia="仿宋" w:hAnsi="Times New Roman"/>
                <w:sz w:val="22"/>
              </w:rPr>
              <w:t>、由两个以上的经营者共同控制的合营企业，通过集中被其中一个或一个以上经营者控制。</w:t>
            </w:r>
          </w:p>
        </w:tc>
      </w:tr>
      <w:tr w:rsidR="003801AB" w:rsidRPr="00DE58FA" w:rsidTr="000C5EB0">
        <w:trPr>
          <w:trHeight w:val="530"/>
          <w:jc w:val="center"/>
        </w:trPr>
        <w:tc>
          <w:tcPr>
            <w:tcW w:w="1809" w:type="dxa"/>
            <w:shd w:val="clear" w:color="auto" w:fill="D9D9D9"/>
          </w:tcPr>
          <w:p w:rsidR="00FE623E" w:rsidRPr="00DE58FA" w:rsidRDefault="00FE623E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2"/>
              </w:rPr>
            </w:pPr>
          </w:p>
          <w:p w:rsidR="003801AB" w:rsidRPr="00DE58FA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2"/>
              </w:rPr>
            </w:pPr>
            <w:r w:rsidRPr="00DE58FA">
              <w:rPr>
                <w:rFonts w:ascii="Times New Roman" w:eastAsia="仿宋" w:hAnsi="Times New Roman"/>
                <w:b/>
                <w:sz w:val="22"/>
              </w:rPr>
              <w:t>备注</w:t>
            </w:r>
          </w:p>
        </w:tc>
        <w:tc>
          <w:tcPr>
            <w:tcW w:w="7411" w:type="dxa"/>
            <w:gridSpan w:val="2"/>
          </w:tcPr>
          <w:p w:rsidR="00FE623E" w:rsidRPr="00DE58FA" w:rsidRDefault="00FE623E" w:rsidP="001C5D96">
            <w:p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</w:p>
          <w:p w:rsidR="00DA5E6C" w:rsidRPr="00DE58FA" w:rsidRDefault="00FE623E" w:rsidP="001C5D96">
            <w:p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sz w:val="22"/>
              </w:rPr>
              <w:t>相关市场</w:t>
            </w:r>
            <w:r w:rsidR="001C5D96" w:rsidRPr="00DE58FA">
              <w:rPr>
                <w:rFonts w:ascii="Times New Roman" w:eastAsia="仿宋" w:hAnsi="Times New Roman"/>
                <w:sz w:val="22"/>
              </w:rPr>
              <w:t>和交易各方的市场份额</w:t>
            </w:r>
            <w:r w:rsidRPr="00DE58FA">
              <w:rPr>
                <w:rFonts w:ascii="Times New Roman" w:eastAsia="仿宋" w:hAnsi="Times New Roman"/>
                <w:sz w:val="22"/>
              </w:rPr>
              <w:t>：</w:t>
            </w:r>
          </w:p>
          <w:p w:rsidR="00225353" w:rsidRPr="00DE58FA" w:rsidRDefault="00225353" w:rsidP="001C5D96">
            <w:p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</w:p>
          <w:p w:rsidR="001C5D96" w:rsidRPr="00DE58FA" w:rsidRDefault="001C5D96" w:rsidP="001C5D96">
            <w:pPr>
              <w:numPr>
                <w:ilvl w:val="0"/>
                <w:numId w:val="10"/>
              </w:numPr>
              <w:adjustRightInd w:val="0"/>
              <w:snapToGrid w:val="0"/>
              <w:rPr>
                <w:rFonts w:ascii="Times New Roman" w:eastAsia="仿宋" w:hAnsi="Times New Roman"/>
                <w:b/>
                <w:sz w:val="22"/>
              </w:rPr>
            </w:pPr>
            <w:r w:rsidRPr="00DE58FA">
              <w:rPr>
                <w:rFonts w:ascii="Times New Roman" w:eastAsia="仿宋" w:hAnsi="Times New Roman"/>
                <w:b/>
                <w:sz w:val="22"/>
              </w:rPr>
              <w:t>中国低压断路器市场</w:t>
            </w:r>
          </w:p>
          <w:p w:rsidR="001C5D96" w:rsidRPr="00DE58FA" w:rsidRDefault="001C5D96" w:rsidP="001C5D96">
            <w:pPr>
              <w:numPr>
                <w:ilvl w:val="0"/>
                <w:numId w:val="12"/>
              </w:num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sz w:val="22"/>
              </w:rPr>
              <w:t>目标公司：</w:t>
            </w:r>
            <w:r w:rsidRPr="00DE58FA">
              <w:rPr>
                <w:rFonts w:ascii="Times New Roman" w:eastAsia="仿宋" w:hAnsi="Times New Roman"/>
                <w:sz w:val="22"/>
              </w:rPr>
              <w:t>0-5%</w:t>
            </w:r>
          </w:p>
          <w:p w:rsidR="001C5D96" w:rsidRPr="00DE58FA" w:rsidRDefault="001C5D96" w:rsidP="001C5D96">
            <w:pPr>
              <w:numPr>
                <w:ilvl w:val="0"/>
                <w:numId w:val="12"/>
              </w:num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sz w:val="22"/>
              </w:rPr>
              <w:t>伊顿：</w:t>
            </w:r>
            <w:r w:rsidRPr="00DE58FA">
              <w:rPr>
                <w:rFonts w:ascii="Times New Roman" w:eastAsia="仿宋" w:hAnsi="Times New Roman"/>
                <w:sz w:val="22"/>
              </w:rPr>
              <w:t>0-5%</w:t>
            </w:r>
          </w:p>
          <w:p w:rsidR="001C5D96" w:rsidRPr="00DE58FA" w:rsidRDefault="001C5D96" w:rsidP="001C5D96">
            <w:pPr>
              <w:numPr>
                <w:ilvl w:val="0"/>
                <w:numId w:val="12"/>
              </w:num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sz w:val="22"/>
              </w:rPr>
              <w:t>交易双方合计：</w:t>
            </w:r>
            <w:r w:rsidRPr="00DE58FA">
              <w:rPr>
                <w:rFonts w:ascii="Times New Roman" w:eastAsia="仿宋" w:hAnsi="Times New Roman"/>
                <w:sz w:val="22"/>
              </w:rPr>
              <w:t>0-5%</w:t>
            </w:r>
          </w:p>
          <w:p w:rsidR="001C5D96" w:rsidRPr="00DE58FA" w:rsidRDefault="001C5D96" w:rsidP="001C5D96">
            <w:p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</w:p>
          <w:p w:rsidR="001C5D96" w:rsidRPr="00DE58FA" w:rsidRDefault="001C5D96" w:rsidP="001C5D96">
            <w:pPr>
              <w:numPr>
                <w:ilvl w:val="0"/>
                <w:numId w:val="10"/>
              </w:num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b/>
                <w:sz w:val="22"/>
              </w:rPr>
              <w:t>中国低压接触器市场</w:t>
            </w:r>
          </w:p>
          <w:p w:rsidR="001C5D96" w:rsidRPr="00DE58FA" w:rsidRDefault="001C5D96" w:rsidP="001C5D96">
            <w:pPr>
              <w:numPr>
                <w:ilvl w:val="0"/>
                <w:numId w:val="11"/>
              </w:num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sz w:val="22"/>
              </w:rPr>
              <w:t>目标公司：</w:t>
            </w:r>
            <w:r w:rsidRPr="00DE58FA">
              <w:rPr>
                <w:rFonts w:ascii="Times New Roman" w:eastAsia="仿宋" w:hAnsi="Times New Roman"/>
                <w:sz w:val="22"/>
              </w:rPr>
              <w:t>0-5%</w:t>
            </w:r>
          </w:p>
          <w:p w:rsidR="001C5D96" w:rsidRPr="00DE58FA" w:rsidRDefault="001C5D96" w:rsidP="001C5D96">
            <w:pPr>
              <w:numPr>
                <w:ilvl w:val="0"/>
                <w:numId w:val="11"/>
              </w:num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sz w:val="22"/>
              </w:rPr>
              <w:t>伊顿：</w:t>
            </w:r>
            <w:r w:rsidRPr="00DE58FA">
              <w:rPr>
                <w:rFonts w:ascii="Times New Roman" w:eastAsia="仿宋" w:hAnsi="Times New Roman"/>
                <w:sz w:val="22"/>
              </w:rPr>
              <w:t>0-5%</w:t>
            </w:r>
          </w:p>
          <w:p w:rsidR="001C5D96" w:rsidRPr="00DE58FA" w:rsidRDefault="001C5D96" w:rsidP="001C5D96">
            <w:pPr>
              <w:numPr>
                <w:ilvl w:val="0"/>
                <w:numId w:val="11"/>
              </w:numPr>
              <w:adjustRightInd w:val="0"/>
              <w:snapToGrid w:val="0"/>
              <w:rPr>
                <w:rFonts w:ascii="Times New Roman" w:eastAsia="仿宋" w:hAnsi="Times New Roman"/>
                <w:sz w:val="22"/>
              </w:rPr>
            </w:pPr>
            <w:r w:rsidRPr="00DE58FA">
              <w:rPr>
                <w:rFonts w:ascii="Times New Roman" w:eastAsia="仿宋" w:hAnsi="Times New Roman"/>
                <w:sz w:val="22"/>
              </w:rPr>
              <w:t>交易双方合计：</w:t>
            </w:r>
            <w:r w:rsidRPr="00DE58FA">
              <w:rPr>
                <w:rFonts w:ascii="Times New Roman" w:eastAsia="仿宋" w:hAnsi="Times New Roman"/>
                <w:sz w:val="22"/>
              </w:rPr>
              <w:t>0-5%</w:t>
            </w:r>
          </w:p>
          <w:p w:rsidR="001C5D96" w:rsidRPr="00DE58FA" w:rsidRDefault="001C5D96" w:rsidP="001C5D96">
            <w:pPr>
              <w:adjustRightInd w:val="0"/>
              <w:snapToGrid w:val="0"/>
              <w:ind w:left="360"/>
              <w:rPr>
                <w:rFonts w:ascii="Times New Roman" w:eastAsia="仿宋" w:hAnsi="Times New Roman"/>
                <w:sz w:val="22"/>
              </w:rPr>
            </w:pPr>
          </w:p>
        </w:tc>
      </w:tr>
    </w:tbl>
    <w:p w:rsidR="00070BDC" w:rsidRPr="00DE58FA" w:rsidRDefault="00070BDC" w:rsidP="00E16AB2">
      <w:pPr>
        <w:rPr>
          <w:rFonts w:ascii="Times New Roman" w:eastAsia="仿宋" w:hAnsi="Times New Roman"/>
          <w:sz w:val="22"/>
        </w:rPr>
      </w:pPr>
    </w:p>
    <w:sectPr w:rsidR="00070BDC" w:rsidRPr="00DE58FA" w:rsidSect="00F43980">
      <w:headerReference w:type="default" r:id="rId8"/>
      <w:footerReference w:type="default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63B6" w:rsidRDefault="00F463B6" w:rsidP="00094095">
      <w:r>
        <w:separator/>
      </w:r>
    </w:p>
  </w:endnote>
  <w:endnote w:type="continuationSeparator" w:id="0">
    <w:p w:rsidR="00F463B6" w:rsidRDefault="00F463B6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0065" w:rsidRDefault="004F0065">
    <w:pPr>
      <w:pStyle w:val="a7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0065" w:rsidRDefault="00F463B6">
    <w:pPr>
      <w:pStyle w:val="a7"/>
      <w:spacing w:line="20" w:lineRule="exact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zzmpTrailer_2832_2" o:spid="_x0000_s2050" type="#_x0000_t202" style="position:absolute;left:0;text-align:left;margin-left:0;margin-top:0;width:201.6pt;height:20.15pt;z-index:-1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" filled="f" stroked="f">
          <v:textbox inset="0,0,0,0">
            <w:txbxContent>
              <w:p w:rsidR="004F0065" w:rsidRDefault="008E7384">
                <w:pPr>
                  <w:pStyle w:val="MacPacTrailer"/>
                </w:pPr>
                <w:fldSimple w:instr=" DOCPROPERTY  docId ">
                  <w:r w:rsidR="00AE7CB3">
                    <w:t>BEI1084870</w:t>
                  </w:r>
                </w:fldSimple>
                <w:r w:rsidR="004F0065">
                  <w:t>/</w:t>
                </w:r>
                <w:fldSimple w:instr=" DOCPROPERTY  docVersion ">
                  <w:r w:rsidR="00AE7CB3">
                    <w:t>5</w:t>
                  </w:r>
                </w:fldSimple>
                <w:r w:rsidR="004F0065">
                  <w:t xml:space="preserve">   </w:t>
                </w:r>
                <w:r w:rsidR="004F0065">
                  <w:fldChar w:fldCharType="begin"/>
                </w:r>
                <w:r w:rsidR="004F0065">
                  <w:instrText xml:space="preserve"> IF </w:instrText>
                </w:r>
                <w:fldSimple w:instr=" DOCPROPERTY  docIncludeCliMat ">
                  <w:r w:rsidR="00AE7CB3">
                    <w:instrText>true</w:instrText>
                  </w:r>
                </w:fldSimple>
                <w:r w:rsidR="004F0065">
                  <w:instrText xml:space="preserve"> = true </w:instrText>
                </w:r>
                <w:fldSimple w:instr=" DOCPROPERTY  docCliMat ">
                  <w:r w:rsidR="00AE7CB3">
                    <w:instrText>168072-0001</w:instrText>
                  </w:r>
                </w:fldSimple>
                <w:r w:rsidR="004F0065">
                  <w:instrText xml:space="preserve">  </w:instrText>
                </w:r>
                <w:r w:rsidR="004F0065">
                  <w:fldChar w:fldCharType="separate"/>
                </w:r>
                <w:r w:rsidR="00AE7CB3">
                  <w:rPr>
                    <w:noProof/>
                  </w:rPr>
                  <w:t>168072-0001</w:t>
                </w:r>
                <w:r w:rsidR="004F0065">
                  <w:fldChar w:fldCharType="end"/>
                </w:r>
              </w:p>
              <w:p w:rsidR="004F0065" w:rsidRDefault="004F0065">
                <w:pPr>
                  <w:pStyle w:val="MacPacTrailer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63B6" w:rsidRDefault="00F463B6" w:rsidP="00094095">
      <w:r>
        <w:separator/>
      </w:r>
    </w:p>
  </w:footnote>
  <w:footnote w:type="continuationSeparator" w:id="0">
    <w:p w:rsidR="00F463B6" w:rsidRDefault="00F463B6" w:rsidP="000940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0694" w:rsidRDefault="00380694" w:rsidP="00380694">
    <w:pPr>
      <w:pStyle w:val="a6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8E42B9"/>
    <w:multiLevelType w:val="hybridMultilevel"/>
    <w:tmpl w:val="D1289448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71831B3"/>
    <w:multiLevelType w:val="hybridMultilevel"/>
    <w:tmpl w:val="B7280E9A"/>
    <w:lvl w:ilvl="0" w:tplc="32544BC8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7C048B"/>
    <w:multiLevelType w:val="hybridMultilevel"/>
    <w:tmpl w:val="AF2A4ADE"/>
    <w:lvl w:ilvl="0" w:tplc="5D9CA4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C1F60A8"/>
    <w:multiLevelType w:val="hybridMultilevel"/>
    <w:tmpl w:val="E594E926"/>
    <w:lvl w:ilvl="0" w:tplc="7B6A0FDC">
      <w:start w:val="1"/>
      <w:numFmt w:val="decimal"/>
      <w:lvlText w:val="(%1)"/>
      <w:lvlJc w:val="left"/>
      <w:pPr>
        <w:ind w:left="720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F176AE"/>
    <w:multiLevelType w:val="hybridMultilevel"/>
    <w:tmpl w:val="7BEA2430"/>
    <w:lvl w:ilvl="0" w:tplc="671644A4">
      <w:start w:val="1"/>
      <w:numFmt w:val="bullet"/>
      <w:lvlText w:val="－"/>
      <w:lvlJc w:val="left"/>
      <w:pPr>
        <w:ind w:left="420" w:hanging="420"/>
      </w:pPr>
      <w:rPr>
        <w:rFonts w:ascii="仿宋" w:eastAsia="仿宋" w:hAnsi="仿宋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3C7B799B"/>
    <w:multiLevelType w:val="hybridMultilevel"/>
    <w:tmpl w:val="FE84C400"/>
    <w:lvl w:ilvl="0" w:tplc="32544BC8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6852783"/>
    <w:multiLevelType w:val="multilevel"/>
    <w:tmpl w:val="6BBEF1B2"/>
    <w:lvl w:ilvl="0">
      <w:start w:val="1"/>
      <w:numFmt w:val="decimal"/>
      <w:pStyle w:val="ParagraphNumberRz"/>
      <w:lvlText w:val="(%1)"/>
      <w:lvlJc w:val="left"/>
      <w:pPr>
        <w:ind w:hanging="720"/>
      </w:pPr>
      <w:rPr>
        <w:color w:val="auto"/>
        <w:sz w:val="20"/>
      </w:rPr>
    </w:lvl>
    <w:lvl w:ilvl="1">
      <w:start w:val="1"/>
      <w:numFmt w:val="none"/>
      <w:lvlText w:val="%2."/>
      <w:lvlJc w:val="left"/>
      <w:pPr>
        <w:ind w:left="2160" w:hanging="360"/>
      </w:pPr>
    </w:lvl>
    <w:lvl w:ilvl="2">
      <w:start w:val="1"/>
      <w:numFmt w:val="none"/>
      <w:lvlText w:val="%3."/>
      <w:lvlJc w:val="right"/>
      <w:pPr>
        <w:ind w:left="2880" w:hanging="180"/>
      </w:pPr>
    </w:lvl>
    <w:lvl w:ilvl="3">
      <w:start w:val="1"/>
      <w:numFmt w:val="none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9F13A7D"/>
    <w:multiLevelType w:val="hybridMultilevel"/>
    <w:tmpl w:val="2D38102A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5CA0211D"/>
    <w:multiLevelType w:val="hybridMultilevel"/>
    <w:tmpl w:val="38D81EA8"/>
    <w:lvl w:ilvl="0" w:tplc="2864F466">
      <w:start w:val="1"/>
      <w:numFmt w:val="decimal"/>
      <w:lvlText w:val="（%1）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61A12747"/>
    <w:multiLevelType w:val="hybridMultilevel"/>
    <w:tmpl w:val="ECC6FF08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>
    <w:nsid w:val="6D8D057E"/>
    <w:multiLevelType w:val="hybridMultilevel"/>
    <w:tmpl w:val="C89A2F10"/>
    <w:lvl w:ilvl="0" w:tplc="D7707DB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706B13A5"/>
    <w:multiLevelType w:val="hybridMultilevel"/>
    <w:tmpl w:val="B6F8F3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7BE54659"/>
    <w:multiLevelType w:val="hybridMultilevel"/>
    <w:tmpl w:val="1862C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C6B7889"/>
    <w:multiLevelType w:val="hybridMultilevel"/>
    <w:tmpl w:val="D076FE86"/>
    <w:lvl w:ilvl="0" w:tplc="32544BC8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6"/>
  </w:num>
  <w:num w:numId="5">
    <w:abstractNumId w:val="2"/>
  </w:num>
  <w:num w:numId="6">
    <w:abstractNumId w:val="7"/>
  </w:num>
  <w:num w:numId="7">
    <w:abstractNumId w:val="0"/>
  </w:num>
  <w:num w:numId="8">
    <w:abstractNumId w:val="8"/>
  </w:num>
  <w:num w:numId="9">
    <w:abstractNumId w:val="1"/>
  </w:num>
  <w:num w:numId="10">
    <w:abstractNumId w:val="10"/>
  </w:num>
  <w:num w:numId="11">
    <w:abstractNumId w:val="13"/>
  </w:num>
  <w:num w:numId="12">
    <w:abstractNumId w:val="5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trackRevisions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authClass" w:val="Fee Earner"/>
    <w:docVar w:name="authCorresp" w:val="Quan Zhou"/>
    <w:docVar w:name="authExtension" w:val="4546"/>
    <w:docVar w:name="authFax" w:val="86 10 6505 7783"/>
    <w:docVar w:name="authId" w:val="QUZHOU"/>
    <w:docVar w:name="authLocation" w:val="Beijing"/>
    <w:docVar w:name="authName" w:val="Zhou, Quan"/>
    <w:docVar w:name="authPhone" w:val="86 10 6535 4546"/>
    <w:docVar w:name="docClass" w:val="-NONE-"/>
    <w:docVar w:name="docClient" w:val="800000"/>
    <w:docVar w:name="docCliMat" w:val="800000-0001"/>
    <w:docVar w:name="docDesc" w:val="Attachment 2 - Public Notice Form for Simple Cases in Concentrations of Undertakings - ENG"/>
    <w:docVar w:name="docId" w:val="BEI933257"/>
    <w:docVar w:name="docIdVer" w:val="BEI933257/2"/>
    <w:docVar w:name="docLanguage" w:val="EN(UK)"/>
    <w:docVar w:name="docMatter" w:val="0001"/>
    <w:docVar w:name="docVersion" w:val="2"/>
    <w:docVar w:name="operClass" w:val="Fee Earner"/>
    <w:docVar w:name="operCorresp" w:val="Kexin Li"/>
    <w:docVar w:name="operEmail" w:val="Kexin.LI@freshfields.com"/>
    <w:docVar w:name="operExtension" w:val="4607"/>
    <w:docVar w:name="operFax" w:val="86 10 6505 7783"/>
    <w:docVar w:name="operId" w:val="KELI"/>
    <w:docVar w:name="operLocation" w:val="Beijing"/>
    <w:docVar w:name="operName" w:val="Li, Kexin"/>
    <w:docVar w:name="operPhone" w:val="86 10 6535 4607"/>
    <w:docVar w:name="zzmp10LastTrailerInserted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LastTrailerInserted_2832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mSEGsValidated" w:val="1"/>
    <w:docVar w:name="zzmpLegacyTrailerRemoved" w:val="True"/>
  </w:docVars>
  <w:rsids>
    <w:rsidRoot w:val="00094095"/>
    <w:rsid w:val="00015C83"/>
    <w:rsid w:val="00026DDD"/>
    <w:rsid w:val="000375B0"/>
    <w:rsid w:val="00042C44"/>
    <w:rsid w:val="00050437"/>
    <w:rsid w:val="000626CD"/>
    <w:rsid w:val="000663D5"/>
    <w:rsid w:val="00070BDC"/>
    <w:rsid w:val="00094095"/>
    <w:rsid w:val="000C3FBF"/>
    <w:rsid w:val="000C5EB0"/>
    <w:rsid w:val="000F62EC"/>
    <w:rsid w:val="00137CFF"/>
    <w:rsid w:val="0014035B"/>
    <w:rsid w:val="00140D5D"/>
    <w:rsid w:val="00150500"/>
    <w:rsid w:val="00167677"/>
    <w:rsid w:val="00172D7E"/>
    <w:rsid w:val="001C5B46"/>
    <w:rsid w:val="001C5D96"/>
    <w:rsid w:val="001E46E7"/>
    <w:rsid w:val="001F0B61"/>
    <w:rsid w:val="00202C4C"/>
    <w:rsid w:val="0020418C"/>
    <w:rsid w:val="00205E2F"/>
    <w:rsid w:val="002136C0"/>
    <w:rsid w:val="00221D21"/>
    <w:rsid w:val="00225353"/>
    <w:rsid w:val="0023513A"/>
    <w:rsid w:val="00240053"/>
    <w:rsid w:val="00260CE8"/>
    <w:rsid w:val="00270EF3"/>
    <w:rsid w:val="00281603"/>
    <w:rsid w:val="00285C21"/>
    <w:rsid w:val="002A0CF3"/>
    <w:rsid w:val="002E4C07"/>
    <w:rsid w:val="00317AAA"/>
    <w:rsid w:val="00327E7D"/>
    <w:rsid w:val="0034397F"/>
    <w:rsid w:val="00347182"/>
    <w:rsid w:val="003671CB"/>
    <w:rsid w:val="003801AB"/>
    <w:rsid w:val="00380694"/>
    <w:rsid w:val="00392C39"/>
    <w:rsid w:val="003A1A8B"/>
    <w:rsid w:val="003C4E66"/>
    <w:rsid w:val="003D0094"/>
    <w:rsid w:val="003D7660"/>
    <w:rsid w:val="003E47FF"/>
    <w:rsid w:val="003F1EBF"/>
    <w:rsid w:val="003F44EE"/>
    <w:rsid w:val="00403BBA"/>
    <w:rsid w:val="00406033"/>
    <w:rsid w:val="0043715C"/>
    <w:rsid w:val="00437297"/>
    <w:rsid w:val="0046114E"/>
    <w:rsid w:val="00462174"/>
    <w:rsid w:val="00474890"/>
    <w:rsid w:val="004A47DB"/>
    <w:rsid w:val="004A7507"/>
    <w:rsid w:val="004B4594"/>
    <w:rsid w:val="004C48BB"/>
    <w:rsid w:val="004C5D65"/>
    <w:rsid w:val="004D4651"/>
    <w:rsid w:val="004E6A47"/>
    <w:rsid w:val="004E6E53"/>
    <w:rsid w:val="004F0065"/>
    <w:rsid w:val="00500496"/>
    <w:rsid w:val="0051481B"/>
    <w:rsid w:val="00545339"/>
    <w:rsid w:val="00546452"/>
    <w:rsid w:val="0054693E"/>
    <w:rsid w:val="00547964"/>
    <w:rsid w:val="00555F32"/>
    <w:rsid w:val="00565CD2"/>
    <w:rsid w:val="00570149"/>
    <w:rsid w:val="0057311D"/>
    <w:rsid w:val="00577457"/>
    <w:rsid w:val="0058041D"/>
    <w:rsid w:val="005A15EE"/>
    <w:rsid w:val="005D5123"/>
    <w:rsid w:val="005D7069"/>
    <w:rsid w:val="005E715A"/>
    <w:rsid w:val="005F0540"/>
    <w:rsid w:val="005F0BFD"/>
    <w:rsid w:val="0060370D"/>
    <w:rsid w:val="006341B0"/>
    <w:rsid w:val="006651C8"/>
    <w:rsid w:val="00673A7D"/>
    <w:rsid w:val="006830E8"/>
    <w:rsid w:val="006A3A30"/>
    <w:rsid w:val="006B05AB"/>
    <w:rsid w:val="006C11CD"/>
    <w:rsid w:val="006C7BB5"/>
    <w:rsid w:val="006D6F75"/>
    <w:rsid w:val="006E08C4"/>
    <w:rsid w:val="006E1191"/>
    <w:rsid w:val="007155EC"/>
    <w:rsid w:val="007242B6"/>
    <w:rsid w:val="00726AFC"/>
    <w:rsid w:val="00736A6A"/>
    <w:rsid w:val="00751668"/>
    <w:rsid w:val="00786C11"/>
    <w:rsid w:val="00787D24"/>
    <w:rsid w:val="007B1089"/>
    <w:rsid w:val="007B3CC5"/>
    <w:rsid w:val="007F377D"/>
    <w:rsid w:val="00807DD3"/>
    <w:rsid w:val="008204A9"/>
    <w:rsid w:val="00820C0F"/>
    <w:rsid w:val="0082712D"/>
    <w:rsid w:val="008324A1"/>
    <w:rsid w:val="0085025C"/>
    <w:rsid w:val="00851AC3"/>
    <w:rsid w:val="008550A4"/>
    <w:rsid w:val="00863098"/>
    <w:rsid w:val="008856BE"/>
    <w:rsid w:val="008857D2"/>
    <w:rsid w:val="008857F4"/>
    <w:rsid w:val="008A1B9C"/>
    <w:rsid w:val="008C2E34"/>
    <w:rsid w:val="008C569C"/>
    <w:rsid w:val="008C7BB8"/>
    <w:rsid w:val="008D34AE"/>
    <w:rsid w:val="008E7384"/>
    <w:rsid w:val="008E7B8C"/>
    <w:rsid w:val="009131BF"/>
    <w:rsid w:val="00914699"/>
    <w:rsid w:val="00934AC6"/>
    <w:rsid w:val="00946F41"/>
    <w:rsid w:val="00951E1A"/>
    <w:rsid w:val="00990ADB"/>
    <w:rsid w:val="00991915"/>
    <w:rsid w:val="009A0F42"/>
    <w:rsid w:val="009B005C"/>
    <w:rsid w:val="009B2B58"/>
    <w:rsid w:val="009B2CFF"/>
    <w:rsid w:val="009B6A33"/>
    <w:rsid w:val="009E505E"/>
    <w:rsid w:val="00A06C4D"/>
    <w:rsid w:val="00A17A5D"/>
    <w:rsid w:val="00A20E75"/>
    <w:rsid w:val="00A67507"/>
    <w:rsid w:val="00A67CAB"/>
    <w:rsid w:val="00A912CE"/>
    <w:rsid w:val="00A97389"/>
    <w:rsid w:val="00AA2F52"/>
    <w:rsid w:val="00AB1188"/>
    <w:rsid w:val="00AB2771"/>
    <w:rsid w:val="00AB29C1"/>
    <w:rsid w:val="00AC629E"/>
    <w:rsid w:val="00AE0E3E"/>
    <w:rsid w:val="00AE6017"/>
    <w:rsid w:val="00AE643B"/>
    <w:rsid w:val="00AE7CB3"/>
    <w:rsid w:val="00B1651D"/>
    <w:rsid w:val="00B41684"/>
    <w:rsid w:val="00B44A7A"/>
    <w:rsid w:val="00B73B00"/>
    <w:rsid w:val="00B82B21"/>
    <w:rsid w:val="00B853C3"/>
    <w:rsid w:val="00B96A6F"/>
    <w:rsid w:val="00BA1596"/>
    <w:rsid w:val="00BA4EBD"/>
    <w:rsid w:val="00BC6627"/>
    <w:rsid w:val="00BC69B3"/>
    <w:rsid w:val="00BD1CB9"/>
    <w:rsid w:val="00BF5016"/>
    <w:rsid w:val="00BF514E"/>
    <w:rsid w:val="00BF5213"/>
    <w:rsid w:val="00BF7486"/>
    <w:rsid w:val="00C01940"/>
    <w:rsid w:val="00C053D3"/>
    <w:rsid w:val="00C360EA"/>
    <w:rsid w:val="00C37748"/>
    <w:rsid w:val="00C53CEE"/>
    <w:rsid w:val="00C56E8F"/>
    <w:rsid w:val="00C5720D"/>
    <w:rsid w:val="00C61413"/>
    <w:rsid w:val="00C76D5F"/>
    <w:rsid w:val="00C84A74"/>
    <w:rsid w:val="00C868C5"/>
    <w:rsid w:val="00C87D17"/>
    <w:rsid w:val="00CB2837"/>
    <w:rsid w:val="00CC13A5"/>
    <w:rsid w:val="00CD1484"/>
    <w:rsid w:val="00CD35CF"/>
    <w:rsid w:val="00D4428B"/>
    <w:rsid w:val="00D64F0A"/>
    <w:rsid w:val="00D8430E"/>
    <w:rsid w:val="00D90741"/>
    <w:rsid w:val="00DA5E6C"/>
    <w:rsid w:val="00DB7528"/>
    <w:rsid w:val="00DC40E5"/>
    <w:rsid w:val="00DD7D65"/>
    <w:rsid w:val="00DE58FA"/>
    <w:rsid w:val="00DF1860"/>
    <w:rsid w:val="00DF2C87"/>
    <w:rsid w:val="00DF68F0"/>
    <w:rsid w:val="00E05350"/>
    <w:rsid w:val="00E16AB2"/>
    <w:rsid w:val="00E37F56"/>
    <w:rsid w:val="00E514E9"/>
    <w:rsid w:val="00E60110"/>
    <w:rsid w:val="00E66E51"/>
    <w:rsid w:val="00E71C30"/>
    <w:rsid w:val="00E8098C"/>
    <w:rsid w:val="00EB1320"/>
    <w:rsid w:val="00EB566C"/>
    <w:rsid w:val="00EC478E"/>
    <w:rsid w:val="00EC6878"/>
    <w:rsid w:val="00F37758"/>
    <w:rsid w:val="00F43980"/>
    <w:rsid w:val="00F4418F"/>
    <w:rsid w:val="00F463B6"/>
    <w:rsid w:val="00F47530"/>
    <w:rsid w:val="00F6008E"/>
    <w:rsid w:val="00F86728"/>
    <w:rsid w:val="00F87C1F"/>
    <w:rsid w:val="00F920C7"/>
    <w:rsid w:val="00FB2154"/>
    <w:rsid w:val="00FD5AF8"/>
    <w:rsid w:val="00FE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5:docId w15:val="{403692D0-BFDB-458B-BC0F-9D86BDBF4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semiHidden/>
    <w:rsid w:val="00094095"/>
    <w:pPr>
      <w:snapToGrid w:val="0"/>
      <w:jc w:val="left"/>
    </w:pPr>
  </w:style>
  <w:style w:type="character" w:customStyle="1" w:styleId="Char">
    <w:name w:val="尾注文本 Char"/>
    <w:link w:val="a4"/>
    <w:semiHidden/>
    <w:locked/>
    <w:rsid w:val="00094095"/>
    <w:rPr>
      <w:rFonts w:cs="Times New Roman"/>
    </w:rPr>
  </w:style>
  <w:style w:type="character" w:styleId="a5">
    <w:name w:val="endnote reference"/>
    <w:semiHidden/>
    <w:rsid w:val="00094095"/>
    <w:rPr>
      <w:rFonts w:cs="Times New Roman"/>
      <w:vertAlign w:val="superscript"/>
    </w:rPr>
  </w:style>
  <w:style w:type="paragraph" w:styleId="a6">
    <w:name w:val="header"/>
    <w:basedOn w:val="a"/>
    <w:link w:val="Char0"/>
    <w:rsid w:val="004F0065"/>
    <w:pPr>
      <w:tabs>
        <w:tab w:val="center" w:pos="4680"/>
        <w:tab w:val="right" w:pos="9360"/>
      </w:tabs>
    </w:pPr>
  </w:style>
  <w:style w:type="character" w:customStyle="1" w:styleId="Char0">
    <w:name w:val="页眉 Char"/>
    <w:link w:val="a6"/>
    <w:rsid w:val="004F0065"/>
    <w:rPr>
      <w:kern w:val="2"/>
      <w:sz w:val="21"/>
      <w:szCs w:val="22"/>
    </w:rPr>
  </w:style>
  <w:style w:type="paragraph" w:styleId="a7">
    <w:name w:val="footer"/>
    <w:basedOn w:val="a"/>
    <w:link w:val="Char1"/>
    <w:rsid w:val="004F0065"/>
    <w:pPr>
      <w:tabs>
        <w:tab w:val="center" w:pos="4680"/>
        <w:tab w:val="right" w:pos="9360"/>
      </w:tabs>
    </w:pPr>
  </w:style>
  <w:style w:type="character" w:customStyle="1" w:styleId="Char1">
    <w:name w:val="页脚 Char"/>
    <w:link w:val="a7"/>
    <w:rsid w:val="004F0065"/>
    <w:rPr>
      <w:kern w:val="2"/>
      <w:sz w:val="21"/>
      <w:szCs w:val="22"/>
    </w:rPr>
  </w:style>
  <w:style w:type="paragraph" w:customStyle="1" w:styleId="MacPacTrailer">
    <w:name w:val="MacPac Trailer"/>
    <w:rsid w:val="004F0065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paragraph" w:styleId="a8">
    <w:name w:val="Balloon Text"/>
    <w:basedOn w:val="a"/>
    <w:link w:val="Char2"/>
    <w:rsid w:val="004F0065"/>
    <w:rPr>
      <w:rFonts w:ascii="Tahoma" w:hAnsi="Tahoma" w:cs="Tahoma"/>
      <w:sz w:val="16"/>
      <w:szCs w:val="16"/>
    </w:rPr>
  </w:style>
  <w:style w:type="character" w:customStyle="1" w:styleId="Char2">
    <w:name w:val="批注框文本 Char"/>
    <w:link w:val="a8"/>
    <w:rsid w:val="004F0065"/>
    <w:rPr>
      <w:rFonts w:ascii="Tahoma" w:hAnsi="Tahoma" w:cs="Tahoma"/>
      <w:kern w:val="2"/>
      <w:sz w:val="16"/>
      <w:szCs w:val="16"/>
    </w:rPr>
  </w:style>
  <w:style w:type="paragraph" w:styleId="a9">
    <w:name w:val="footnote text"/>
    <w:basedOn w:val="a"/>
    <w:link w:val="Char3"/>
    <w:rsid w:val="005E715A"/>
    <w:rPr>
      <w:sz w:val="20"/>
      <w:szCs w:val="20"/>
    </w:rPr>
  </w:style>
  <w:style w:type="character" w:customStyle="1" w:styleId="Char3">
    <w:name w:val="脚注文本 Char"/>
    <w:link w:val="a9"/>
    <w:rsid w:val="005E715A"/>
    <w:rPr>
      <w:kern w:val="2"/>
    </w:rPr>
  </w:style>
  <w:style w:type="character" w:styleId="aa">
    <w:name w:val="footnote reference"/>
    <w:rsid w:val="005E715A"/>
    <w:rPr>
      <w:vertAlign w:val="superscript"/>
    </w:rPr>
  </w:style>
  <w:style w:type="character" w:styleId="ab">
    <w:name w:val="Hyperlink"/>
    <w:rsid w:val="005F0BFD"/>
    <w:rPr>
      <w:color w:val="0000FF"/>
      <w:u w:val="single"/>
    </w:rPr>
  </w:style>
  <w:style w:type="character" w:styleId="ac">
    <w:name w:val="FollowedHyperlink"/>
    <w:rsid w:val="002E4C07"/>
    <w:rPr>
      <w:color w:val="800080"/>
      <w:u w:val="single"/>
    </w:rPr>
  </w:style>
  <w:style w:type="paragraph" w:customStyle="1" w:styleId="ParagraphNumberRz">
    <w:name w:val="Paragraph Number (Rz)"/>
    <w:basedOn w:val="a"/>
    <w:qFormat/>
    <w:rsid w:val="00BC6627"/>
    <w:pPr>
      <w:widowControl/>
      <w:numPr>
        <w:numId w:val="4"/>
      </w:numPr>
      <w:adjustRightInd w:val="0"/>
      <w:spacing w:after="180" w:line="280" w:lineRule="exact"/>
    </w:pPr>
    <w:rPr>
      <w:rFonts w:ascii="Times New Roman" w:eastAsia="Times New Roman" w:hAnsi="Times New Roman"/>
      <w:kern w:val="0"/>
      <w:sz w:val="24"/>
      <w:szCs w:val="24"/>
      <w:lang w:val="en-GB" w:eastAsia="en-US"/>
    </w:rPr>
  </w:style>
  <w:style w:type="character" w:styleId="ad">
    <w:name w:val="annotation reference"/>
    <w:rsid w:val="00A912CE"/>
    <w:rPr>
      <w:sz w:val="21"/>
      <w:szCs w:val="21"/>
    </w:rPr>
  </w:style>
  <w:style w:type="paragraph" w:styleId="ae">
    <w:name w:val="annotation text"/>
    <w:basedOn w:val="a"/>
    <w:link w:val="Char4"/>
    <w:rsid w:val="00A912CE"/>
    <w:pPr>
      <w:jc w:val="left"/>
    </w:pPr>
  </w:style>
  <w:style w:type="character" w:customStyle="1" w:styleId="Char4">
    <w:name w:val="批注文字 Char"/>
    <w:link w:val="ae"/>
    <w:rsid w:val="00A912CE"/>
    <w:rPr>
      <w:kern w:val="2"/>
      <w:sz w:val="21"/>
      <w:szCs w:val="22"/>
    </w:rPr>
  </w:style>
  <w:style w:type="paragraph" w:styleId="af">
    <w:name w:val="annotation subject"/>
    <w:basedOn w:val="ae"/>
    <w:next w:val="ae"/>
    <w:link w:val="Char5"/>
    <w:rsid w:val="00A912CE"/>
    <w:rPr>
      <w:b/>
      <w:bCs/>
    </w:rPr>
  </w:style>
  <w:style w:type="character" w:customStyle="1" w:styleId="Char5">
    <w:name w:val="批注主题 Char"/>
    <w:link w:val="af"/>
    <w:rsid w:val="00A912CE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264E8E-B133-477C-ADC4-49C8028B8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Attachment 2</vt:lpstr>
    </vt:vector>
  </TitlesOfParts>
  <Company>Freshfields Bruckhaus Deringer</Company>
  <LinksUpToDate>false</LinksUpToDate>
  <CharactersWithSpaces>1115</CharactersWithSpaces>
  <SharedDoc>false</SharedDoc>
  <HLinks>
    <vt:vector size="12" baseType="variant">
      <vt:variant>
        <vt:i4>1900630</vt:i4>
      </vt:variant>
      <vt:variant>
        <vt:i4>3</vt:i4>
      </vt:variant>
      <vt:variant>
        <vt:i4>0</vt:i4>
      </vt:variant>
      <vt:variant>
        <vt:i4>5</vt:i4>
      </vt:variant>
      <vt:variant>
        <vt:lpwstr>http://fldj.mofcom.gov.cn/article/jyzjzjyajgs/201710/20171002656708.shtml</vt:lpwstr>
      </vt:variant>
      <vt:variant>
        <vt:lpwstr/>
      </vt:variant>
      <vt:variant>
        <vt:i4>2424935</vt:i4>
      </vt:variant>
      <vt:variant>
        <vt:i4>0</vt:i4>
      </vt:variant>
      <vt:variant>
        <vt:i4>0</vt:i4>
      </vt:variant>
      <vt:variant>
        <vt:i4>5</vt:i4>
      </vt:variant>
      <vt:variant>
        <vt:lpwstr>http://www.cvc.com/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Attachment 2</dc:title>
  <dc:subject/>
  <cp:keywords/>
  <cp:lastModifiedBy>HUANG, Caroline</cp:lastModifiedBy>
  <cp:revision>18</cp:revision>
  <cp:lastPrinted>2017-04-20T05:41:00Z</cp:lastPrinted>
  <dcterms:created xsi:type="dcterms:W3CDTF">2018-07-27T09:06:00Z</dcterms:created>
  <dcterms:modified xsi:type="dcterms:W3CDTF">2021-01-15T12:53:00Z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Id">
    <vt:lpwstr>KELI</vt:lpwstr>
  </property>
  <property fmtid="{D5CDD505-2E9C-101B-9397-08002B2CF9AE}" pid="3" name="operName">
    <vt:lpwstr>Li, Kexin</vt:lpwstr>
  </property>
  <property fmtid="{D5CDD505-2E9C-101B-9397-08002B2CF9AE}" pid="4" name="operLocation">
    <vt:lpwstr>Beijing</vt:lpwstr>
  </property>
  <property fmtid="{D5CDD505-2E9C-101B-9397-08002B2CF9AE}" pid="5" name="operExtension">
    <vt:lpwstr>4607</vt:lpwstr>
  </property>
  <property fmtid="{D5CDD505-2E9C-101B-9397-08002B2CF9AE}" pid="6" name="operPhone">
    <vt:lpwstr>86 10 6535 4607</vt:lpwstr>
  </property>
  <property fmtid="{D5CDD505-2E9C-101B-9397-08002B2CF9AE}" pid="7" name="operEmail">
    <vt:lpwstr>Kexin.LI@freshfields.com</vt:lpwstr>
  </property>
  <property fmtid="{D5CDD505-2E9C-101B-9397-08002B2CF9AE}" pid="8" name="operFax">
    <vt:lpwstr>86 10 6505 7783</vt:lpwstr>
  </property>
  <property fmtid="{D5CDD505-2E9C-101B-9397-08002B2CF9AE}" pid="9" name="operCorresp">
    <vt:lpwstr>Kexin Li</vt:lpwstr>
  </property>
  <property fmtid="{D5CDD505-2E9C-101B-9397-08002B2CF9AE}" pid="10" name="operInitials">
    <vt:lpwstr/>
  </property>
  <property fmtid="{D5CDD505-2E9C-101B-9397-08002B2CF9AE}" pid="11" name="authId">
    <vt:lpwstr>QUZHOU</vt:lpwstr>
  </property>
  <property fmtid="{D5CDD505-2E9C-101B-9397-08002B2CF9AE}" pid="12" name="authName">
    <vt:lpwstr>Zhou, Quan</vt:lpwstr>
  </property>
  <property fmtid="{D5CDD505-2E9C-101B-9397-08002B2CF9AE}" pid="13" name="authLocation">
    <vt:lpwstr>Beijing</vt:lpwstr>
  </property>
  <property fmtid="{D5CDD505-2E9C-101B-9397-08002B2CF9AE}" pid="14" name="authExtension">
    <vt:lpwstr>4546</vt:lpwstr>
  </property>
  <property fmtid="{D5CDD505-2E9C-101B-9397-08002B2CF9AE}" pid="15" name="authPhone">
    <vt:lpwstr>86 10 6535 4546</vt:lpwstr>
  </property>
  <property fmtid="{D5CDD505-2E9C-101B-9397-08002B2CF9AE}" pid="16" name="authEmail">
    <vt:lpwstr/>
  </property>
  <property fmtid="{D5CDD505-2E9C-101B-9397-08002B2CF9AE}" pid="17" name="authFax">
    <vt:lpwstr>86 10 6505 7783</vt:lpwstr>
  </property>
  <property fmtid="{D5CDD505-2E9C-101B-9397-08002B2CF9AE}" pid="18" name="authCorresp">
    <vt:lpwstr>Quan Zhou</vt:lpwstr>
  </property>
  <property fmtid="{D5CDD505-2E9C-101B-9397-08002B2CF9AE}" pid="19" name="authInitials">
    <vt:lpwstr/>
  </property>
  <property fmtid="{D5CDD505-2E9C-101B-9397-08002B2CF9AE}" pid="20" name="docClass">
    <vt:lpwstr>-NONE-</vt:lpwstr>
  </property>
  <property fmtid="{D5CDD505-2E9C-101B-9397-08002B2CF9AE}" pid="21" name="docSubClass">
    <vt:lpwstr/>
  </property>
  <property fmtid="{D5CDD505-2E9C-101B-9397-08002B2CF9AE}" pid="22" name="docLanguage">
    <vt:lpwstr>EN(UK)</vt:lpwstr>
  </property>
  <property fmtid="{D5CDD505-2E9C-101B-9397-08002B2CF9AE}" pid="23" name="docClient">
    <vt:lpwstr>800000</vt:lpwstr>
  </property>
  <property fmtid="{D5CDD505-2E9C-101B-9397-08002B2CF9AE}" pid="24" name="docMatter">
    <vt:lpwstr>0001</vt:lpwstr>
  </property>
  <property fmtid="{D5CDD505-2E9C-101B-9397-08002B2CF9AE}" pid="25" name="docCliMat">
    <vt:lpwstr>168072-0001</vt:lpwstr>
  </property>
  <property fmtid="{D5CDD505-2E9C-101B-9397-08002B2CF9AE}" pid="26" name="docGlobPracGroup">
    <vt:lpwstr/>
  </property>
  <property fmtid="{D5CDD505-2E9C-101B-9397-08002B2CF9AE}" pid="27" name="docGlobSectGroup">
    <vt:lpwstr/>
  </property>
  <property fmtid="{D5CDD505-2E9C-101B-9397-08002B2CF9AE}" pid="28" name="docOrganisation">
    <vt:lpwstr/>
  </property>
  <property fmtid="{D5CDD505-2E9C-101B-9397-08002B2CF9AE}" pid="29" name="docId">
    <vt:lpwstr>BEI1084870</vt:lpwstr>
  </property>
  <property fmtid="{D5CDD505-2E9C-101B-9397-08002B2CF9AE}" pid="30" name="docVersion">
    <vt:lpwstr>5</vt:lpwstr>
  </property>
  <property fmtid="{D5CDD505-2E9C-101B-9397-08002B2CF9AE}" pid="31" name="docIdVer">
    <vt:lpwstr>BEI933257/2</vt:lpwstr>
  </property>
  <property fmtid="{D5CDD505-2E9C-101B-9397-08002B2CF9AE}" pid="32" name="docDesc">
    <vt:lpwstr>Attachment 2 - Public Notice Form for Simple Cases in Concentrations of Undertakings - ENG</vt:lpwstr>
  </property>
  <property fmtid="{D5CDD505-2E9C-101B-9397-08002B2CF9AE}" pid="33" name="docIncludeCliMat">
    <vt:lpwstr>true</vt:lpwstr>
  </property>
</Properties>
</file>