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94C845" w14:textId="77777777" w:rsidR="00CB00DF" w:rsidRPr="00E04708" w:rsidRDefault="00CB00DF" w:rsidP="00CB00DF">
      <w:pPr>
        <w:snapToGrid w:val="0"/>
        <w:spacing w:before="100" w:beforeAutospacing="1" w:after="100" w:afterAutospacing="1"/>
        <w:jc w:val="left"/>
        <w:rPr>
          <w:rFonts w:ascii="Times New Roman" w:hAnsi="Times New Roman"/>
          <w:b/>
          <w:szCs w:val="21"/>
        </w:rPr>
      </w:pPr>
      <w:r w:rsidRPr="00E04708">
        <w:rPr>
          <w:rFonts w:ascii="Times New Roman" w:hAnsi="Times New Roman" w:hint="eastAsia"/>
          <w:b/>
          <w:szCs w:val="21"/>
        </w:rPr>
        <w:t>附件</w:t>
      </w:r>
      <w:r w:rsidRPr="00E04708">
        <w:rPr>
          <w:rFonts w:ascii="Times New Roman" w:hAnsi="Times New Roman" w:hint="eastAsia"/>
          <w:b/>
          <w:szCs w:val="21"/>
        </w:rPr>
        <w:t>2</w:t>
      </w:r>
    </w:p>
    <w:p w14:paraId="4BD3B7B6" w14:textId="77777777" w:rsidR="00CB00DF" w:rsidRPr="00E04708" w:rsidRDefault="00CB00DF" w:rsidP="00CB00DF">
      <w:pPr>
        <w:spacing w:line="440" w:lineRule="exact"/>
        <w:jc w:val="center"/>
        <w:rPr>
          <w:rFonts w:ascii="黑体" w:eastAsia="黑体" w:hAnsi="Times New Roman"/>
          <w:sz w:val="30"/>
          <w:szCs w:val="30"/>
        </w:rPr>
      </w:pPr>
      <w:r w:rsidRPr="00E04708">
        <w:rPr>
          <w:rFonts w:ascii="黑体" w:eastAsia="黑体" w:hAnsi="Times New Roman" w:hint="eastAsia"/>
          <w:sz w:val="30"/>
          <w:szCs w:val="30"/>
        </w:rPr>
        <w:t>经营者集中简易案件公示表</w:t>
      </w:r>
    </w:p>
    <w:p w14:paraId="143BA73F" w14:textId="77777777" w:rsidR="00CB00DF" w:rsidRPr="00E04708" w:rsidRDefault="00CB00DF" w:rsidP="00CB00DF">
      <w:pPr>
        <w:spacing w:line="440" w:lineRule="exact"/>
        <w:rPr>
          <w:rFonts w:ascii="黑体" w:eastAsia="黑体" w:hAnsi="Times New Roman"/>
          <w:sz w:val="28"/>
          <w:szCs w:val="28"/>
        </w:rPr>
      </w:pPr>
    </w:p>
    <w:p w14:paraId="4F8BE577" w14:textId="77777777" w:rsidR="00CB00DF" w:rsidRPr="00E04708"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E04708" w14:paraId="30805C3C" w14:textId="77777777" w:rsidTr="00CB00DF">
        <w:tc>
          <w:tcPr>
            <w:tcW w:w="1809" w:type="dxa"/>
            <w:shd w:val="clear" w:color="auto" w:fill="D9D9D9"/>
            <w:vAlign w:val="center"/>
          </w:tcPr>
          <w:p w14:paraId="44EEEE4E"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案件名称</w:t>
            </w:r>
          </w:p>
        </w:tc>
        <w:tc>
          <w:tcPr>
            <w:tcW w:w="6949" w:type="dxa"/>
            <w:gridSpan w:val="2"/>
          </w:tcPr>
          <w:p w14:paraId="1D390BA4" w14:textId="5C723534" w:rsidR="00CB00DF" w:rsidRPr="00E04708" w:rsidRDefault="008876A9" w:rsidP="00F74787">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珠海华发实体产业投资控股有限公司收购</w:t>
            </w:r>
            <w:r w:rsidR="00F74787">
              <w:rPr>
                <w:rFonts w:ascii="仿宋" w:eastAsia="仿宋" w:hAnsi="仿宋" w:cs="宋体" w:hint="eastAsia"/>
                <w:color w:val="333333"/>
                <w:kern w:val="0"/>
                <w:sz w:val="24"/>
                <w:szCs w:val="24"/>
                <w:bdr w:val="none" w:sz="0" w:space="0" w:color="auto" w:frame="1"/>
              </w:rPr>
              <w:t>华灿光电</w:t>
            </w:r>
            <w:r w:rsidRPr="00E04708">
              <w:rPr>
                <w:rFonts w:ascii="仿宋" w:eastAsia="仿宋" w:hAnsi="仿宋" w:cs="宋体" w:hint="eastAsia"/>
                <w:color w:val="333333"/>
                <w:kern w:val="0"/>
                <w:sz w:val="24"/>
                <w:szCs w:val="24"/>
                <w:bdr w:val="none" w:sz="0" w:space="0" w:color="auto" w:frame="1"/>
              </w:rPr>
              <w:t>股份有限公司股权案</w:t>
            </w:r>
          </w:p>
        </w:tc>
      </w:tr>
      <w:tr w:rsidR="00CB00DF" w:rsidRPr="00E04708" w14:paraId="17F6275A" w14:textId="77777777" w:rsidTr="00CB00DF">
        <w:trPr>
          <w:trHeight w:val="993"/>
        </w:trPr>
        <w:tc>
          <w:tcPr>
            <w:tcW w:w="1809" w:type="dxa"/>
            <w:shd w:val="clear" w:color="auto" w:fill="D9D9D9"/>
            <w:vAlign w:val="center"/>
          </w:tcPr>
          <w:p w14:paraId="475F327A" w14:textId="77777777" w:rsidR="00F1624E"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交易概况</w:t>
            </w:r>
          </w:p>
          <w:p w14:paraId="2A205381"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（限200字内）</w:t>
            </w:r>
          </w:p>
        </w:tc>
        <w:tc>
          <w:tcPr>
            <w:tcW w:w="6949" w:type="dxa"/>
            <w:gridSpan w:val="2"/>
          </w:tcPr>
          <w:p w14:paraId="353045E5" w14:textId="0F9C5E40" w:rsidR="00CB00DF" w:rsidRPr="00F74787" w:rsidRDefault="004C4766" w:rsidP="004C4766">
            <w:pPr>
              <w:spacing w:line="500" w:lineRule="exact"/>
              <w:rPr>
                <w:rFonts w:ascii="仿宋" w:eastAsia="仿宋" w:hAnsi="仿宋" w:cs="宋体"/>
                <w:color w:val="333333"/>
                <w:kern w:val="0"/>
                <w:sz w:val="24"/>
                <w:szCs w:val="24"/>
                <w:bdr w:val="none" w:sz="0" w:space="0" w:color="auto" w:frame="1"/>
              </w:rPr>
            </w:pPr>
            <w:r w:rsidRPr="004C4766">
              <w:rPr>
                <w:rFonts w:ascii="仿宋" w:eastAsia="仿宋" w:hAnsi="仿宋" w:cs="宋体" w:hint="eastAsia"/>
                <w:color w:val="333333"/>
                <w:kern w:val="0"/>
                <w:sz w:val="24"/>
                <w:szCs w:val="24"/>
                <w:bdr w:val="none" w:sz="0" w:space="0" w:color="auto" w:frame="1"/>
              </w:rPr>
              <w:t>本次交易前，华实控股持有华灿光电129,318,854股，占上市公司总股本的10.43%。</w:t>
            </w:r>
            <w:r w:rsidR="00F74787" w:rsidRPr="00F74787">
              <w:rPr>
                <w:rFonts w:ascii="仿宋" w:eastAsia="仿宋" w:hAnsi="仿宋" w:cs="宋体" w:hint="eastAsia"/>
                <w:color w:val="333333"/>
                <w:kern w:val="0"/>
                <w:sz w:val="24"/>
                <w:szCs w:val="24"/>
                <w:bdr w:val="none" w:sz="0" w:space="0" w:color="auto" w:frame="1"/>
              </w:rPr>
              <w:t>2021年1月22日</w:t>
            </w:r>
            <w:r w:rsidR="00F74787">
              <w:rPr>
                <w:rFonts w:ascii="仿宋" w:eastAsia="仿宋" w:hAnsi="仿宋" w:cs="宋体" w:hint="eastAsia"/>
                <w:color w:val="333333"/>
                <w:kern w:val="0"/>
                <w:sz w:val="24"/>
                <w:szCs w:val="24"/>
                <w:bdr w:val="none" w:sz="0" w:space="0" w:color="auto" w:frame="1"/>
              </w:rPr>
              <w:t>，</w:t>
            </w:r>
            <w:r w:rsidR="005A023F" w:rsidRPr="00F74787">
              <w:rPr>
                <w:rFonts w:ascii="仿宋" w:eastAsia="仿宋" w:hAnsi="仿宋" w:cs="宋体" w:hint="eastAsia"/>
                <w:color w:val="333333"/>
                <w:kern w:val="0"/>
                <w:sz w:val="24"/>
                <w:szCs w:val="24"/>
                <w:bdr w:val="none" w:sz="0" w:space="0" w:color="auto" w:frame="1"/>
              </w:rPr>
              <w:t>华实</w:t>
            </w:r>
            <w:r w:rsidR="005A023F">
              <w:rPr>
                <w:rFonts w:ascii="仿宋" w:eastAsia="仿宋" w:hAnsi="仿宋" w:cs="宋体" w:hint="eastAsia"/>
                <w:color w:val="333333"/>
                <w:kern w:val="0"/>
                <w:sz w:val="24"/>
                <w:szCs w:val="24"/>
                <w:bdr w:val="none" w:sz="0" w:space="0" w:color="auto" w:frame="1"/>
              </w:rPr>
              <w:t>控股</w:t>
            </w:r>
            <w:r w:rsidR="008A55FE">
              <w:rPr>
                <w:rFonts w:ascii="仿宋" w:eastAsia="仿宋" w:hAnsi="仿宋" w:cs="宋体" w:hint="eastAsia"/>
                <w:color w:val="333333"/>
                <w:kern w:val="0"/>
                <w:sz w:val="24"/>
                <w:szCs w:val="24"/>
                <w:bdr w:val="none" w:sz="0" w:space="0" w:color="auto" w:frame="1"/>
              </w:rPr>
              <w:t>与</w:t>
            </w:r>
            <w:r w:rsidR="00F74787" w:rsidRPr="00F74787">
              <w:rPr>
                <w:rFonts w:ascii="仿宋" w:eastAsia="仿宋" w:hAnsi="仿宋" w:cs="宋体" w:hint="eastAsia"/>
                <w:color w:val="333333"/>
                <w:kern w:val="0"/>
                <w:sz w:val="24"/>
                <w:szCs w:val="24"/>
                <w:bdr w:val="none" w:sz="0" w:space="0" w:color="auto" w:frame="1"/>
              </w:rPr>
              <w:t>Jing Tian Capital I, Limited、Jing Tian Capital II, Limited、Kai Le Capital Limited</w:t>
            </w:r>
            <w:r>
              <w:rPr>
                <w:rFonts w:ascii="仿宋" w:eastAsia="仿宋" w:hAnsi="仿宋" w:cs="宋体" w:hint="eastAsia"/>
                <w:color w:val="333333"/>
                <w:kern w:val="0"/>
                <w:sz w:val="24"/>
                <w:szCs w:val="24"/>
                <w:bdr w:val="none" w:sz="0" w:space="0" w:color="auto" w:frame="1"/>
              </w:rPr>
              <w:t>、</w:t>
            </w:r>
            <w:r w:rsidR="00F74787">
              <w:rPr>
                <w:rFonts w:ascii="仿宋" w:eastAsia="仿宋" w:hAnsi="仿宋" w:cs="宋体" w:hint="eastAsia"/>
                <w:color w:val="333333"/>
                <w:kern w:val="0"/>
                <w:sz w:val="24"/>
                <w:szCs w:val="24"/>
                <w:bdr w:val="none" w:sz="0" w:space="0" w:color="auto" w:frame="1"/>
              </w:rPr>
              <w:t>上海灿融实业有限公司</w:t>
            </w:r>
            <w:r>
              <w:rPr>
                <w:rFonts w:ascii="仿宋" w:eastAsia="仿宋" w:hAnsi="仿宋" w:cs="宋体" w:hint="eastAsia"/>
                <w:color w:val="333333"/>
                <w:kern w:val="0"/>
                <w:sz w:val="24"/>
                <w:szCs w:val="24"/>
                <w:bdr w:val="none" w:sz="0" w:space="0" w:color="auto" w:frame="1"/>
              </w:rPr>
              <w:t>分别</w:t>
            </w:r>
            <w:r w:rsidR="00F74787">
              <w:rPr>
                <w:rFonts w:ascii="仿宋" w:eastAsia="仿宋" w:hAnsi="仿宋" w:cs="宋体" w:hint="eastAsia"/>
                <w:color w:val="333333"/>
                <w:kern w:val="0"/>
                <w:sz w:val="24"/>
                <w:szCs w:val="24"/>
                <w:bdr w:val="none" w:sz="0" w:space="0" w:color="auto" w:frame="1"/>
              </w:rPr>
              <w:t>签订</w:t>
            </w:r>
            <w:r w:rsidR="00F74787" w:rsidRPr="00F74787">
              <w:rPr>
                <w:rFonts w:ascii="仿宋" w:eastAsia="仿宋" w:hAnsi="仿宋" w:cs="宋体" w:hint="eastAsia"/>
                <w:color w:val="333333"/>
                <w:kern w:val="0"/>
                <w:sz w:val="24"/>
                <w:szCs w:val="24"/>
                <w:bdr w:val="none" w:sz="0" w:space="0" w:color="auto" w:frame="1"/>
              </w:rPr>
              <w:t>《股份转让协议》，约定</w:t>
            </w:r>
            <w:r w:rsidR="00AC1CC3">
              <w:rPr>
                <w:rFonts w:ascii="仿宋" w:eastAsia="仿宋" w:hAnsi="仿宋" w:cs="宋体" w:hint="eastAsia"/>
                <w:color w:val="333333"/>
                <w:kern w:val="0"/>
                <w:sz w:val="24"/>
                <w:szCs w:val="24"/>
                <w:bdr w:val="none" w:sz="0" w:space="0" w:color="auto" w:frame="1"/>
              </w:rPr>
              <w:t>：</w:t>
            </w:r>
            <w:r w:rsidRPr="004C4766">
              <w:rPr>
                <w:rFonts w:ascii="仿宋" w:eastAsia="仿宋" w:hAnsi="仿宋" w:cs="宋体" w:hint="eastAsia"/>
                <w:color w:val="333333"/>
                <w:kern w:val="0"/>
                <w:sz w:val="24"/>
                <w:szCs w:val="24"/>
                <w:bdr w:val="none" w:sz="0" w:space="0" w:color="auto" w:frame="1"/>
              </w:rPr>
              <w:t>华实控股将以11.63元/股的价格分别从Jing Tian Capital I, Limited、Jing Tian Capital II, Limited、Kai Le Capital Limited</w:t>
            </w:r>
            <w:r>
              <w:rPr>
                <w:rFonts w:ascii="仿宋" w:eastAsia="仿宋" w:hAnsi="仿宋" w:cs="宋体" w:hint="eastAsia"/>
                <w:color w:val="333333"/>
                <w:kern w:val="0"/>
                <w:sz w:val="24"/>
                <w:szCs w:val="24"/>
                <w:bdr w:val="none" w:sz="0" w:space="0" w:color="auto" w:frame="1"/>
              </w:rPr>
              <w:t>、</w:t>
            </w:r>
            <w:r w:rsidRPr="004C4766">
              <w:rPr>
                <w:rFonts w:ascii="仿宋" w:eastAsia="仿宋" w:hAnsi="仿宋" w:cs="宋体" w:hint="eastAsia"/>
                <w:color w:val="333333"/>
                <w:kern w:val="0"/>
                <w:sz w:val="24"/>
                <w:szCs w:val="24"/>
                <w:bdr w:val="none" w:sz="0" w:space="0" w:color="auto" w:frame="1"/>
              </w:rPr>
              <w:t>上海灿融实业有限公司受让华灿光电的股份，合计：179,088,014股，占上市公司总股本的14.44%。本次交易后，华实控股</w:t>
            </w:r>
            <w:r>
              <w:rPr>
                <w:rFonts w:ascii="仿宋" w:eastAsia="仿宋" w:hAnsi="仿宋" w:cs="宋体" w:hint="eastAsia"/>
                <w:color w:val="333333"/>
                <w:kern w:val="0"/>
                <w:sz w:val="24"/>
                <w:szCs w:val="24"/>
                <w:bdr w:val="none" w:sz="0" w:space="0" w:color="auto" w:frame="1"/>
              </w:rPr>
              <w:t>共</w:t>
            </w:r>
            <w:r w:rsidRPr="004C4766">
              <w:rPr>
                <w:rFonts w:ascii="仿宋" w:eastAsia="仿宋" w:hAnsi="仿宋" w:cs="宋体" w:hint="eastAsia"/>
                <w:color w:val="333333"/>
                <w:kern w:val="0"/>
                <w:sz w:val="24"/>
                <w:szCs w:val="24"/>
                <w:bdr w:val="none" w:sz="0" w:space="0" w:color="auto" w:frame="1"/>
              </w:rPr>
              <w:t>持有华灿光电308,406,868股，占上市公司总股本的24.87%，成为华灿光电的第一大股东。此后，华实控股拟改组上市公司董事会，取得上市公司半数以上董事席位，成为控股股东。</w:t>
            </w:r>
          </w:p>
        </w:tc>
      </w:tr>
      <w:tr w:rsidR="00CB00DF" w:rsidRPr="00E04708" w14:paraId="2797464F" w14:textId="77777777" w:rsidTr="000A1C4B">
        <w:trPr>
          <w:trHeight w:val="468"/>
        </w:trPr>
        <w:tc>
          <w:tcPr>
            <w:tcW w:w="1809" w:type="dxa"/>
            <w:vMerge w:val="restart"/>
            <w:shd w:val="clear" w:color="auto" w:fill="D9D9D9"/>
            <w:vAlign w:val="center"/>
          </w:tcPr>
          <w:p w14:paraId="59507445" w14:textId="77777777" w:rsidR="00F1624E"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参与集中的</w:t>
            </w:r>
          </w:p>
          <w:p w14:paraId="7E896D54"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经营者简介</w:t>
            </w:r>
          </w:p>
        </w:tc>
        <w:tc>
          <w:tcPr>
            <w:tcW w:w="1796" w:type="dxa"/>
            <w:vAlign w:val="center"/>
          </w:tcPr>
          <w:p w14:paraId="79342FCA" w14:textId="755F7DA9" w:rsidR="00CB00DF" w:rsidRPr="00E04708" w:rsidRDefault="00CB00DF" w:rsidP="000A1C4B">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1、</w:t>
            </w:r>
            <w:r w:rsidR="00ED646B" w:rsidRPr="00E04708">
              <w:rPr>
                <w:rFonts w:ascii="仿宋" w:eastAsia="仿宋" w:hAnsi="仿宋" w:cs="宋体" w:hint="eastAsia"/>
                <w:color w:val="333333"/>
                <w:kern w:val="0"/>
                <w:sz w:val="24"/>
                <w:szCs w:val="24"/>
                <w:bdr w:val="none" w:sz="0" w:space="0" w:color="auto" w:frame="1"/>
              </w:rPr>
              <w:t>华实控股</w:t>
            </w:r>
          </w:p>
        </w:tc>
        <w:tc>
          <w:tcPr>
            <w:tcW w:w="5153" w:type="dxa"/>
          </w:tcPr>
          <w:p w14:paraId="621A5762" w14:textId="77E8F13F" w:rsidR="000668D0" w:rsidRPr="00E04708" w:rsidRDefault="00A534E0"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华实控股成立于2019年6月，</w:t>
            </w:r>
            <w:r w:rsidR="00D07458" w:rsidRPr="00E04708">
              <w:rPr>
                <w:rFonts w:ascii="仿宋" w:eastAsia="仿宋" w:hAnsi="仿宋" w:cs="宋体" w:hint="eastAsia"/>
                <w:color w:val="333333"/>
                <w:kern w:val="0"/>
                <w:sz w:val="24"/>
                <w:szCs w:val="24"/>
                <w:bdr w:val="none" w:sz="0" w:space="0" w:color="auto" w:frame="1"/>
              </w:rPr>
              <w:t>主要是</w:t>
            </w:r>
            <w:r w:rsidRPr="00E04708">
              <w:rPr>
                <w:rFonts w:ascii="仿宋" w:eastAsia="仿宋" w:hAnsi="仿宋" w:cs="宋体" w:hint="eastAsia"/>
                <w:color w:val="333333"/>
                <w:kern w:val="0"/>
                <w:sz w:val="24"/>
                <w:szCs w:val="24"/>
                <w:bdr w:val="none" w:sz="0" w:space="0" w:color="auto" w:frame="1"/>
              </w:rPr>
              <w:t>对目前分散在控股股东珠海华发集团有限公司及各板块的实体产业资源进行高度整合和统筹管理，并进行统一的分类管理。</w:t>
            </w:r>
            <w:r w:rsidR="000668D0" w:rsidRPr="00E04708">
              <w:rPr>
                <w:rFonts w:ascii="仿宋" w:eastAsia="仿宋" w:hAnsi="仿宋" w:cs="宋体" w:hint="eastAsia"/>
                <w:color w:val="333333"/>
                <w:kern w:val="0"/>
                <w:sz w:val="24"/>
                <w:szCs w:val="24"/>
                <w:bdr w:val="none" w:sz="0" w:space="0" w:color="auto" w:frame="1"/>
              </w:rPr>
              <w:t>经营范围包括：创业投资、股权投资、资产管理及基金管理，实体产业投资并购、运营管理，高新技术产业园区、孵化器开发运营，公共服务基础设施运营管理，商务综合管理服务，企业管理及咨询。</w:t>
            </w:r>
          </w:p>
        </w:tc>
      </w:tr>
      <w:tr w:rsidR="00CB00DF" w:rsidRPr="00E04708" w14:paraId="5501A89C" w14:textId="77777777" w:rsidTr="000A1C4B">
        <w:trPr>
          <w:trHeight w:val="404"/>
        </w:trPr>
        <w:tc>
          <w:tcPr>
            <w:tcW w:w="1809" w:type="dxa"/>
            <w:vMerge/>
            <w:shd w:val="clear" w:color="auto" w:fill="D9D9D9"/>
            <w:vAlign w:val="center"/>
          </w:tcPr>
          <w:p w14:paraId="71711A44"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vAlign w:val="center"/>
          </w:tcPr>
          <w:p w14:paraId="1B098D2E" w14:textId="119EEBD4" w:rsidR="00CB00DF" w:rsidRPr="00E04708" w:rsidRDefault="00CB00DF" w:rsidP="000A1C4B">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2、</w:t>
            </w:r>
            <w:r w:rsidR="00F74787">
              <w:rPr>
                <w:rFonts w:ascii="仿宋" w:eastAsia="仿宋" w:hAnsi="仿宋" w:cs="宋体" w:hint="eastAsia"/>
                <w:color w:val="333333"/>
                <w:kern w:val="0"/>
                <w:sz w:val="24"/>
                <w:szCs w:val="24"/>
                <w:bdr w:val="none" w:sz="0" w:space="0" w:color="auto" w:frame="1"/>
              </w:rPr>
              <w:t>华灿光电</w:t>
            </w:r>
          </w:p>
        </w:tc>
        <w:tc>
          <w:tcPr>
            <w:tcW w:w="5153" w:type="dxa"/>
          </w:tcPr>
          <w:p w14:paraId="5879D588" w14:textId="4E3F4C71" w:rsidR="000668D0" w:rsidRPr="00E04708" w:rsidRDefault="00F74787" w:rsidP="00F74787">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华灿光电</w:t>
            </w:r>
            <w:r w:rsidR="00A534E0" w:rsidRPr="00E04708">
              <w:rPr>
                <w:rFonts w:ascii="仿宋" w:eastAsia="仿宋" w:hAnsi="仿宋" w:cs="宋体" w:hint="eastAsia"/>
                <w:color w:val="333333"/>
                <w:kern w:val="0"/>
                <w:sz w:val="24"/>
                <w:szCs w:val="24"/>
                <w:bdr w:val="none" w:sz="0" w:space="0" w:color="auto" w:frame="1"/>
              </w:rPr>
              <w:t>成立于</w:t>
            </w:r>
            <w:r>
              <w:rPr>
                <w:rFonts w:ascii="仿宋" w:eastAsia="仿宋" w:hAnsi="仿宋" w:cs="宋体" w:hint="eastAsia"/>
                <w:color w:val="333333"/>
                <w:kern w:val="0"/>
                <w:sz w:val="24"/>
                <w:szCs w:val="24"/>
                <w:bdr w:val="none" w:sz="0" w:space="0" w:color="auto" w:frame="1"/>
              </w:rPr>
              <w:t>2005</w:t>
            </w:r>
            <w:r w:rsidR="00D07458" w:rsidRPr="00E04708">
              <w:rPr>
                <w:rFonts w:ascii="仿宋" w:eastAsia="仿宋" w:hAnsi="仿宋" w:cs="宋体" w:hint="eastAsia"/>
                <w:color w:val="333333"/>
                <w:kern w:val="0"/>
                <w:sz w:val="24"/>
                <w:szCs w:val="24"/>
                <w:bdr w:val="none" w:sz="0" w:space="0" w:color="auto" w:frame="1"/>
              </w:rPr>
              <w:t>年</w:t>
            </w:r>
            <w:r>
              <w:rPr>
                <w:rFonts w:ascii="仿宋" w:eastAsia="仿宋" w:hAnsi="仿宋" w:cs="宋体" w:hint="eastAsia"/>
                <w:color w:val="333333"/>
                <w:kern w:val="0"/>
                <w:sz w:val="24"/>
                <w:szCs w:val="24"/>
                <w:bdr w:val="none" w:sz="0" w:space="0" w:color="auto" w:frame="1"/>
              </w:rPr>
              <w:t>11</w:t>
            </w:r>
            <w:r w:rsidR="00D07458" w:rsidRPr="00E04708">
              <w:rPr>
                <w:rFonts w:ascii="仿宋" w:eastAsia="仿宋" w:hAnsi="仿宋" w:cs="宋体" w:hint="eastAsia"/>
                <w:color w:val="333333"/>
                <w:kern w:val="0"/>
                <w:sz w:val="24"/>
                <w:szCs w:val="24"/>
                <w:bdr w:val="none" w:sz="0" w:space="0" w:color="auto" w:frame="1"/>
              </w:rPr>
              <w:t>月</w:t>
            </w:r>
            <w:r w:rsidR="00A534E0" w:rsidRPr="00E04708">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主要</w:t>
            </w:r>
            <w:r w:rsidRPr="00F74787">
              <w:rPr>
                <w:rFonts w:ascii="仿宋" w:eastAsia="仿宋" w:hAnsi="仿宋" w:cs="宋体" w:hint="eastAsia"/>
                <w:color w:val="333333"/>
                <w:kern w:val="0"/>
                <w:sz w:val="24"/>
                <w:szCs w:val="24"/>
                <w:bdr w:val="none" w:sz="0" w:space="0" w:color="auto" w:frame="1"/>
              </w:rPr>
              <w:t>从事化合物光电半导体材料与电器件的研发、生产和销售业</w:t>
            </w:r>
            <w:r w:rsidRPr="00F74787">
              <w:rPr>
                <w:rFonts w:ascii="仿宋" w:eastAsia="仿宋" w:hAnsi="仿宋" w:cs="宋体" w:hint="eastAsia"/>
                <w:color w:val="333333"/>
                <w:kern w:val="0"/>
                <w:sz w:val="24"/>
                <w:szCs w:val="24"/>
                <w:bdr w:val="none" w:sz="0" w:space="0" w:color="auto" w:frame="1"/>
              </w:rPr>
              <w:lastRenderedPageBreak/>
              <w:t>务，主要产品为全色系LED芯片。公司LED行业主要产品为高亮度LED外延片及全色系LED芯片、蓝宝石单晶、外延衬底、其他蓝宝石以及窗口材料等。LED芯片经客户封装后可广泛应用于全彩显示屏、背光源及照明、及紫外杀菌消毒等应用领域。后期会向化合物半导体领域延伸，包括电力电子、射频、滤波器等。蓝宝石材料是LED的衬底材料，还可以广泛用于消费电子领域。</w:t>
            </w:r>
          </w:p>
        </w:tc>
      </w:tr>
      <w:tr w:rsidR="00CB00DF" w:rsidRPr="00E04708" w14:paraId="69E3EF63" w14:textId="77777777" w:rsidTr="00CB00DF">
        <w:trPr>
          <w:trHeight w:val="279"/>
        </w:trPr>
        <w:tc>
          <w:tcPr>
            <w:tcW w:w="1809" w:type="dxa"/>
            <w:vMerge w:val="restart"/>
            <w:shd w:val="clear" w:color="auto" w:fill="D9D9D9"/>
            <w:vAlign w:val="center"/>
          </w:tcPr>
          <w:p w14:paraId="1A52FEE5"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lastRenderedPageBreak/>
              <w:t>简易案件理由（可以单选，也可以多选）</w:t>
            </w:r>
          </w:p>
        </w:tc>
        <w:tc>
          <w:tcPr>
            <w:tcW w:w="6949" w:type="dxa"/>
            <w:gridSpan w:val="2"/>
          </w:tcPr>
          <w:p w14:paraId="7D0953E2" w14:textId="4E39E72F" w:rsidR="00CB00DF" w:rsidRPr="00E04708" w:rsidRDefault="00F74787"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w:t>
            </w:r>
            <w:r w:rsidR="00CB00DF" w:rsidRPr="00E04708">
              <w:rPr>
                <w:rFonts w:ascii="仿宋" w:eastAsia="仿宋" w:hAnsi="仿宋" w:cs="宋体" w:hint="eastAsia"/>
                <w:color w:val="333333"/>
                <w:kern w:val="0"/>
                <w:sz w:val="24"/>
                <w:szCs w:val="24"/>
                <w:bdr w:val="none" w:sz="0" w:space="0" w:color="auto" w:frame="1"/>
              </w:rPr>
              <w:t>1.在同一相关市场，所有参与集中的经营者所占市场份额之和小于15%。</w:t>
            </w:r>
          </w:p>
        </w:tc>
      </w:tr>
      <w:tr w:rsidR="00CB00DF" w:rsidRPr="00E04708" w14:paraId="33C841A7" w14:textId="77777777" w:rsidTr="00CB00DF">
        <w:trPr>
          <w:trHeight w:val="330"/>
        </w:trPr>
        <w:tc>
          <w:tcPr>
            <w:tcW w:w="1809" w:type="dxa"/>
            <w:vMerge/>
            <w:shd w:val="clear" w:color="auto" w:fill="D9D9D9"/>
            <w:vAlign w:val="center"/>
          </w:tcPr>
          <w:p w14:paraId="686388F2"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D899FE7" w14:textId="6C7EF06E" w:rsidR="00CB00DF" w:rsidRPr="00E04708" w:rsidRDefault="00F74787"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w:t>
            </w:r>
            <w:r w:rsidR="00CB00DF" w:rsidRPr="00E04708">
              <w:rPr>
                <w:rFonts w:ascii="仿宋" w:eastAsia="仿宋" w:hAnsi="仿宋" w:cs="宋体" w:hint="eastAsia"/>
                <w:color w:val="333333"/>
                <w:kern w:val="0"/>
                <w:sz w:val="24"/>
                <w:szCs w:val="24"/>
                <w:bdr w:val="none" w:sz="0" w:space="0" w:color="auto" w:frame="1"/>
              </w:rPr>
              <w:t>2.存在上下游关系的参与集中的经营者，在上下游市场所占的市场份额均小于25%。</w:t>
            </w:r>
          </w:p>
        </w:tc>
      </w:tr>
      <w:tr w:rsidR="00CB00DF" w:rsidRPr="00E04708" w14:paraId="7C50C40A" w14:textId="77777777" w:rsidTr="00CB00DF">
        <w:trPr>
          <w:trHeight w:val="285"/>
        </w:trPr>
        <w:tc>
          <w:tcPr>
            <w:tcW w:w="1809" w:type="dxa"/>
            <w:vMerge/>
            <w:shd w:val="clear" w:color="auto" w:fill="D9D9D9"/>
            <w:vAlign w:val="center"/>
          </w:tcPr>
          <w:p w14:paraId="248B6A41"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377F723" w14:textId="14B16EC8" w:rsidR="00CB00DF" w:rsidRPr="00E04708" w:rsidRDefault="00F74787" w:rsidP="006908A4">
            <w:pPr>
              <w:spacing w:line="500" w:lineRule="exact"/>
              <w:rPr>
                <w:rFonts w:ascii="仿宋" w:eastAsia="仿宋" w:hAnsi="仿宋" w:cs="宋体"/>
                <w:color w:val="333333"/>
                <w:kern w:val="0"/>
                <w:sz w:val="24"/>
                <w:szCs w:val="24"/>
                <w:bdr w:val="none" w:sz="0" w:space="0" w:color="auto" w:frame="1"/>
              </w:rPr>
            </w:pPr>
            <w:r w:rsidRPr="00E04708">
              <w:rPr>
                <w:rFonts w:ascii="Times New Roman" w:eastAsia="仿宋_GB2312" w:hAnsi="Times New Roman"/>
                <w:kern w:val="0"/>
                <w:sz w:val="28"/>
                <w:szCs w:val="28"/>
              </w:rPr>
              <w:sym w:font="Wingdings" w:char="F0FE"/>
            </w:r>
            <w:r w:rsidR="00CB00DF" w:rsidRPr="00E04708">
              <w:rPr>
                <w:rFonts w:ascii="仿宋" w:eastAsia="仿宋" w:hAnsi="仿宋"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E04708" w14:paraId="44605346" w14:textId="77777777" w:rsidTr="00CB00DF">
        <w:trPr>
          <w:trHeight w:val="870"/>
        </w:trPr>
        <w:tc>
          <w:tcPr>
            <w:tcW w:w="1809" w:type="dxa"/>
            <w:vMerge/>
            <w:shd w:val="clear" w:color="auto" w:fill="D9D9D9"/>
            <w:vAlign w:val="center"/>
          </w:tcPr>
          <w:p w14:paraId="417DBB07"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F7CDE14" w14:textId="77777777" w:rsidR="00CB00DF" w:rsidRPr="00E04708" w:rsidRDefault="00CB00DF"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E04708" w14:paraId="0D3A8883" w14:textId="77777777" w:rsidTr="00CB00DF">
        <w:trPr>
          <w:trHeight w:val="264"/>
        </w:trPr>
        <w:tc>
          <w:tcPr>
            <w:tcW w:w="1809" w:type="dxa"/>
            <w:vMerge/>
            <w:shd w:val="clear" w:color="auto" w:fill="D9D9D9"/>
            <w:vAlign w:val="center"/>
          </w:tcPr>
          <w:p w14:paraId="3E676C23"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0AC4E0A" w14:textId="77777777" w:rsidR="00CB00DF" w:rsidRPr="00E04708" w:rsidRDefault="00CB00DF"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E04708" w14:paraId="0B214787" w14:textId="77777777" w:rsidTr="00CB00DF">
        <w:trPr>
          <w:trHeight w:val="345"/>
        </w:trPr>
        <w:tc>
          <w:tcPr>
            <w:tcW w:w="1809" w:type="dxa"/>
            <w:vMerge/>
            <w:shd w:val="clear" w:color="auto" w:fill="D9D9D9"/>
            <w:vAlign w:val="center"/>
          </w:tcPr>
          <w:p w14:paraId="1993C9E2"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5B490BB" w14:textId="77777777" w:rsidR="00CB00DF" w:rsidRPr="00E04708" w:rsidRDefault="00CB00DF" w:rsidP="006908A4">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E04708" w14:paraId="38D72ABF" w14:textId="77777777" w:rsidTr="00CB00DF">
        <w:tc>
          <w:tcPr>
            <w:tcW w:w="1809" w:type="dxa"/>
            <w:shd w:val="clear" w:color="auto" w:fill="D9D9D9"/>
            <w:vAlign w:val="center"/>
          </w:tcPr>
          <w:p w14:paraId="16C1C79C" w14:textId="77777777" w:rsidR="00CB00DF" w:rsidRPr="00E04708" w:rsidRDefault="00CB00DF" w:rsidP="00CB00DF">
            <w:pPr>
              <w:spacing w:line="500" w:lineRule="exact"/>
              <w:jc w:val="center"/>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备注</w:t>
            </w:r>
          </w:p>
        </w:tc>
        <w:tc>
          <w:tcPr>
            <w:tcW w:w="6949" w:type="dxa"/>
            <w:gridSpan w:val="2"/>
          </w:tcPr>
          <w:p w14:paraId="7DD1A6F1" w14:textId="20230516" w:rsidR="00C470B0" w:rsidRPr="00E04708" w:rsidRDefault="00E54AAA" w:rsidP="00C470B0">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1</w:t>
            </w:r>
            <w:r w:rsidRPr="00E04708">
              <w:rPr>
                <w:rFonts w:ascii="仿宋" w:eastAsia="仿宋" w:hAnsi="仿宋" w:cs="宋体"/>
                <w:color w:val="333333"/>
                <w:kern w:val="0"/>
                <w:sz w:val="24"/>
                <w:szCs w:val="24"/>
                <w:bdr w:val="none" w:sz="0" w:space="0" w:color="auto" w:frame="1"/>
              </w:rPr>
              <w:t>.</w:t>
            </w:r>
            <w:r w:rsidR="00C470B0" w:rsidRPr="00E04708">
              <w:rPr>
                <w:rFonts w:ascii="仿宋" w:eastAsia="仿宋" w:hAnsi="仿宋" w:cs="宋体" w:hint="eastAsia"/>
                <w:color w:val="333333"/>
                <w:kern w:val="0"/>
                <w:sz w:val="24"/>
                <w:szCs w:val="24"/>
                <w:bdr w:val="none" w:sz="0" w:space="0" w:color="auto" w:frame="1"/>
              </w:rPr>
              <w:t>相关商品市场</w:t>
            </w:r>
            <w:r w:rsidR="005A023F" w:rsidRPr="00E04708">
              <w:rPr>
                <w:rFonts w:ascii="仿宋" w:eastAsia="仿宋" w:hAnsi="仿宋" w:cs="宋体" w:hint="eastAsia"/>
                <w:color w:val="333333"/>
                <w:kern w:val="0"/>
                <w:sz w:val="24"/>
                <w:szCs w:val="24"/>
                <w:bdr w:val="none" w:sz="0" w:space="0" w:color="auto" w:frame="1"/>
              </w:rPr>
              <w:t>：</w:t>
            </w:r>
            <w:r w:rsidR="005A023F">
              <w:rPr>
                <w:rFonts w:ascii="仿宋" w:eastAsia="仿宋" w:hAnsi="仿宋" w:cs="宋体" w:hint="eastAsia"/>
                <w:color w:val="333333"/>
                <w:kern w:val="0"/>
                <w:sz w:val="24"/>
                <w:szCs w:val="24"/>
                <w:bdr w:val="none" w:sz="0" w:space="0" w:color="auto" w:frame="1"/>
              </w:rPr>
              <w:t>L</w:t>
            </w:r>
            <w:r w:rsidR="005A023F">
              <w:rPr>
                <w:rFonts w:ascii="仿宋" w:eastAsia="仿宋" w:hAnsi="仿宋" w:cs="宋体"/>
                <w:color w:val="333333"/>
                <w:kern w:val="0"/>
                <w:sz w:val="24"/>
                <w:szCs w:val="24"/>
                <w:bdr w:val="none" w:sz="0" w:space="0" w:color="auto" w:frame="1"/>
              </w:rPr>
              <w:t>ED</w:t>
            </w:r>
            <w:r w:rsidR="005A023F">
              <w:rPr>
                <w:rFonts w:ascii="仿宋" w:eastAsia="仿宋" w:hAnsi="仿宋" w:cs="宋体" w:hint="eastAsia"/>
                <w:color w:val="333333"/>
                <w:kern w:val="0"/>
                <w:sz w:val="24"/>
                <w:szCs w:val="24"/>
                <w:bdr w:val="none" w:sz="0" w:space="0" w:color="auto" w:frame="1"/>
              </w:rPr>
              <w:t>芯片市场</w:t>
            </w:r>
          </w:p>
          <w:p w14:paraId="6EFE6DD9" w14:textId="6D64712D" w:rsidR="00C470B0" w:rsidRPr="00E04708" w:rsidRDefault="00C470B0" w:rsidP="00C470B0">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相关地域市场：</w:t>
            </w:r>
            <w:r w:rsidR="000975DF">
              <w:rPr>
                <w:rFonts w:ascii="仿宋" w:eastAsia="仿宋" w:hAnsi="仿宋" w:cs="宋体" w:hint="eastAsia"/>
                <w:color w:val="333333"/>
                <w:kern w:val="0"/>
                <w:sz w:val="24"/>
                <w:szCs w:val="24"/>
                <w:bdr w:val="none" w:sz="0" w:space="0" w:color="auto" w:frame="1"/>
              </w:rPr>
              <w:t>全球</w:t>
            </w:r>
          </w:p>
          <w:p w14:paraId="23135CAD" w14:textId="57B1229C" w:rsidR="00E54AAA" w:rsidRPr="00E04708" w:rsidRDefault="00C470B0" w:rsidP="00E63677">
            <w:pPr>
              <w:spacing w:line="500" w:lineRule="exact"/>
              <w:rPr>
                <w:rFonts w:ascii="仿宋" w:eastAsia="仿宋" w:hAnsi="仿宋" w:cs="宋体"/>
                <w:color w:val="333333"/>
                <w:kern w:val="0"/>
                <w:sz w:val="24"/>
                <w:szCs w:val="24"/>
                <w:bdr w:val="none" w:sz="0" w:space="0" w:color="auto" w:frame="1"/>
              </w:rPr>
            </w:pPr>
            <w:r w:rsidRPr="00E04708">
              <w:rPr>
                <w:rFonts w:ascii="仿宋" w:eastAsia="仿宋" w:hAnsi="仿宋" w:cs="宋体" w:hint="eastAsia"/>
                <w:color w:val="333333"/>
                <w:kern w:val="0"/>
                <w:sz w:val="24"/>
                <w:szCs w:val="24"/>
                <w:bdr w:val="none" w:sz="0" w:space="0" w:color="auto" w:frame="1"/>
              </w:rPr>
              <w:t>参与集中的经营者市场份额：</w:t>
            </w:r>
            <w:r w:rsidR="00F74787">
              <w:rPr>
                <w:rFonts w:ascii="仿宋" w:eastAsia="仿宋" w:hAnsi="仿宋" w:cs="宋体" w:hint="eastAsia"/>
                <w:color w:val="333333"/>
                <w:kern w:val="0"/>
                <w:sz w:val="24"/>
                <w:szCs w:val="24"/>
                <w:bdr w:val="none" w:sz="0" w:space="0" w:color="auto" w:frame="1"/>
              </w:rPr>
              <w:t>华灿光电</w:t>
            </w:r>
            <w:r w:rsidR="005A023F">
              <w:rPr>
                <w:rFonts w:ascii="仿宋" w:eastAsia="仿宋" w:hAnsi="仿宋" w:cs="宋体" w:hint="eastAsia"/>
                <w:color w:val="333333"/>
                <w:kern w:val="0"/>
                <w:sz w:val="24"/>
                <w:szCs w:val="24"/>
                <w:bdr w:val="none" w:sz="0" w:space="0" w:color="auto" w:frame="1"/>
              </w:rPr>
              <w:t>8</w:t>
            </w:r>
            <w:r w:rsidR="005A023F">
              <w:rPr>
                <w:rFonts w:ascii="仿宋" w:eastAsia="仿宋" w:hAnsi="仿宋" w:cs="宋体"/>
                <w:color w:val="333333"/>
                <w:kern w:val="0"/>
                <w:sz w:val="24"/>
                <w:szCs w:val="24"/>
                <w:bdr w:val="none" w:sz="0" w:space="0" w:color="auto" w:frame="1"/>
              </w:rPr>
              <w:t>.79%</w:t>
            </w:r>
            <w:r w:rsidR="00E54AAA" w:rsidRPr="00E04708">
              <w:rPr>
                <w:rFonts w:ascii="微软雅黑" w:eastAsia="微软雅黑" w:hAnsi="微软雅黑" w:hint="eastAsia"/>
                <w:color w:val="555555"/>
                <w:szCs w:val="21"/>
                <w:shd w:val="clear" w:color="auto" w:fill="FFFFFF"/>
              </w:rPr>
              <w:t>、</w:t>
            </w:r>
            <w:r w:rsidR="00E54AAA" w:rsidRPr="00E04708">
              <w:rPr>
                <w:rFonts w:ascii="仿宋" w:eastAsia="仿宋" w:hAnsi="仿宋" w:hint="eastAsia"/>
                <w:color w:val="555555"/>
                <w:sz w:val="24"/>
                <w:szCs w:val="24"/>
                <w:shd w:val="clear" w:color="auto" w:fill="FFFFFF"/>
              </w:rPr>
              <w:t>华实控股</w:t>
            </w:r>
            <w:r w:rsidR="005A023F">
              <w:rPr>
                <w:rFonts w:ascii="仿宋" w:eastAsia="仿宋" w:hAnsi="仿宋" w:hint="eastAsia"/>
                <w:color w:val="555555"/>
                <w:sz w:val="24"/>
                <w:szCs w:val="24"/>
                <w:shd w:val="clear" w:color="auto" w:fill="FFFFFF"/>
              </w:rPr>
              <w:t>0</w:t>
            </w:r>
            <w:r w:rsidR="005A023F">
              <w:rPr>
                <w:rFonts w:ascii="仿宋" w:eastAsia="仿宋" w:hAnsi="仿宋"/>
                <w:color w:val="555555"/>
                <w:sz w:val="24"/>
                <w:szCs w:val="24"/>
                <w:shd w:val="clear" w:color="auto" w:fill="FFFFFF"/>
              </w:rPr>
              <w:t>%</w:t>
            </w:r>
            <w:r w:rsidRPr="00E04708">
              <w:rPr>
                <w:rFonts w:ascii="仿宋" w:eastAsia="仿宋" w:hAnsi="仿宋" w:cs="宋体" w:hint="eastAsia"/>
                <w:color w:val="333333"/>
                <w:kern w:val="0"/>
                <w:sz w:val="24"/>
                <w:szCs w:val="24"/>
                <w:bdr w:val="none" w:sz="0" w:space="0" w:color="auto" w:frame="1"/>
              </w:rPr>
              <w:t>。</w:t>
            </w:r>
          </w:p>
        </w:tc>
      </w:tr>
    </w:tbl>
    <w:p w14:paraId="318FA952" w14:textId="77777777" w:rsidR="00CB00DF" w:rsidRPr="00E04708" w:rsidRDefault="00CB00DF" w:rsidP="00CB00DF">
      <w:pPr>
        <w:snapToGrid w:val="0"/>
        <w:spacing w:line="240" w:lineRule="exact"/>
        <w:jc w:val="left"/>
        <w:rPr>
          <w:rFonts w:ascii="楷体_GB2312" w:eastAsia="楷体_GB2312" w:hAnsi="宋体"/>
          <w:sz w:val="24"/>
          <w:szCs w:val="24"/>
        </w:rPr>
      </w:pPr>
    </w:p>
    <w:p w14:paraId="6F5F70A6" w14:textId="77777777" w:rsidR="00CB00DF" w:rsidRPr="00E04708" w:rsidRDefault="00CB00DF" w:rsidP="00CB00DF">
      <w:pPr>
        <w:snapToGrid w:val="0"/>
        <w:spacing w:line="240" w:lineRule="exact"/>
        <w:jc w:val="left"/>
        <w:rPr>
          <w:rFonts w:ascii="方正仿宋_GBK" w:eastAsia="方正仿宋_GBK" w:hAnsi="宋体"/>
          <w:sz w:val="24"/>
          <w:szCs w:val="24"/>
        </w:rPr>
      </w:pPr>
      <w:r w:rsidRPr="00E04708">
        <w:rPr>
          <w:rFonts w:ascii="方正仿宋_GBK" w:eastAsia="方正仿宋_GBK" w:hAnsi="宋体" w:hint="eastAsia"/>
          <w:sz w:val="24"/>
          <w:szCs w:val="24"/>
        </w:rPr>
        <w:t>注解：</w:t>
      </w:r>
    </w:p>
    <w:p w14:paraId="3B71838C" w14:textId="77777777" w:rsidR="00CB00DF" w:rsidRPr="00E04708" w:rsidRDefault="00CB00DF" w:rsidP="00CB00DF">
      <w:pPr>
        <w:snapToGrid w:val="0"/>
        <w:spacing w:line="360" w:lineRule="auto"/>
        <w:ind w:firstLineChars="200" w:firstLine="480"/>
        <w:jc w:val="left"/>
        <w:rPr>
          <w:rFonts w:ascii="方正仿宋_GBK" w:eastAsia="方正仿宋_GBK" w:hAnsi="宋体"/>
          <w:sz w:val="24"/>
          <w:szCs w:val="24"/>
        </w:rPr>
      </w:pPr>
      <w:r w:rsidRPr="00E04708">
        <w:rPr>
          <w:rFonts w:ascii="方正仿宋_GBK" w:eastAsia="方正仿宋_GBK"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w:t>
      </w:r>
      <w:r w:rsidRPr="00E04708">
        <w:rPr>
          <w:rFonts w:ascii="方正仿宋_GBK" w:eastAsia="方正仿宋_GBK" w:hAnsi="宋体" w:hint="eastAsia"/>
          <w:sz w:val="24"/>
          <w:szCs w:val="24"/>
        </w:rPr>
        <w:lastRenderedPageBreak/>
        <w:t>有勾选的，视为本集中不涉及该类型交易。</w:t>
      </w:r>
    </w:p>
    <w:p w14:paraId="0D6B3ED8" w14:textId="67397AF7" w:rsidR="000F5E24" w:rsidRPr="00CB00DF" w:rsidRDefault="00CB00DF" w:rsidP="00F16A0C">
      <w:pPr>
        <w:spacing w:line="360" w:lineRule="auto"/>
        <w:ind w:firstLineChars="200" w:firstLine="480"/>
      </w:pPr>
      <w:r w:rsidRPr="00E04708">
        <w:rPr>
          <w:rFonts w:ascii="方正仿宋_GBK" w:eastAsia="方正仿宋_GBK" w:hAnsi="宋体" w:hint="eastAsia"/>
          <w:sz w:val="24"/>
          <w:szCs w:val="24"/>
        </w:rPr>
        <w:t>2.申报方申请简易案件的理由是基于第4项、第5项时，无须在备注中说明相关市场和市场份额。</w:t>
      </w:r>
      <w:r w:rsidRPr="00E04708">
        <w:rPr>
          <w:rFonts w:ascii="方正仿宋_GBK" w:eastAsia="方正仿宋_GBK"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4715D4" w14:textId="77777777" w:rsidR="00957FDE" w:rsidRDefault="00957FDE" w:rsidP="005A133E">
      <w:r>
        <w:separator/>
      </w:r>
    </w:p>
  </w:endnote>
  <w:endnote w:type="continuationSeparator" w:id="0">
    <w:p w14:paraId="49B7C24B" w14:textId="77777777" w:rsidR="00957FDE" w:rsidRDefault="00957FDE" w:rsidP="005A1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DE385C" w14:textId="77777777" w:rsidR="00957FDE" w:rsidRDefault="00957FDE" w:rsidP="005A133E">
      <w:r>
        <w:separator/>
      </w:r>
    </w:p>
  </w:footnote>
  <w:footnote w:type="continuationSeparator" w:id="0">
    <w:p w14:paraId="74E577C1" w14:textId="77777777" w:rsidR="00957FDE" w:rsidRDefault="00957FDE" w:rsidP="005A13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36AF0"/>
    <w:rsid w:val="00037065"/>
    <w:rsid w:val="000668D0"/>
    <w:rsid w:val="00086304"/>
    <w:rsid w:val="000975DF"/>
    <w:rsid w:val="000A003C"/>
    <w:rsid w:val="000A1C4B"/>
    <w:rsid w:val="000A4B4E"/>
    <w:rsid w:val="000D7EBA"/>
    <w:rsid w:val="001164CD"/>
    <w:rsid w:val="00130F6E"/>
    <w:rsid w:val="00155717"/>
    <w:rsid w:val="001753EC"/>
    <w:rsid w:val="001837A3"/>
    <w:rsid w:val="001A3538"/>
    <w:rsid w:val="001E1A8F"/>
    <w:rsid w:val="002015A9"/>
    <w:rsid w:val="00213671"/>
    <w:rsid w:val="00251AB4"/>
    <w:rsid w:val="0026033D"/>
    <w:rsid w:val="00273F57"/>
    <w:rsid w:val="002A3E64"/>
    <w:rsid w:val="002C0CDB"/>
    <w:rsid w:val="002C1A9C"/>
    <w:rsid w:val="0038462E"/>
    <w:rsid w:val="003C0AEB"/>
    <w:rsid w:val="003C463A"/>
    <w:rsid w:val="003F2B39"/>
    <w:rsid w:val="004066C8"/>
    <w:rsid w:val="00413FC5"/>
    <w:rsid w:val="00414B71"/>
    <w:rsid w:val="004423DF"/>
    <w:rsid w:val="0045479F"/>
    <w:rsid w:val="004669EC"/>
    <w:rsid w:val="004C4766"/>
    <w:rsid w:val="004F7688"/>
    <w:rsid w:val="00514D71"/>
    <w:rsid w:val="005346AD"/>
    <w:rsid w:val="00535CD2"/>
    <w:rsid w:val="00550024"/>
    <w:rsid w:val="00570F99"/>
    <w:rsid w:val="00580AEF"/>
    <w:rsid w:val="005A023F"/>
    <w:rsid w:val="005A133E"/>
    <w:rsid w:val="005A3060"/>
    <w:rsid w:val="005C53BF"/>
    <w:rsid w:val="005E225B"/>
    <w:rsid w:val="006467D8"/>
    <w:rsid w:val="006822DE"/>
    <w:rsid w:val="006A531B"/>
    <w:rsid w:val="006E6EBD"/>
    <w:rsid w:val="006F7693"/>
    <w:rsid w:val="00710140"/>
    <w:rsid w:val="00757EE1"/>
    <w:rsid w:val="00776D9A"/>
    <w:rsid w:val="00785794"/>
    <w:rsid w:val="007D1840"/>
    <w:rsid w:val="007F2275"/>
    <w:rsid w:val="008047EC"/>
    <w:rsid w:val="00827574"/>
    <w:rsid w:val="0087433E"/>
    <w:rsid w:val="008876A9"/>
    <w:rsid w:val="008977DD"/>
    <w:rsid w:val="008A55FE"/>
    <w:rsid w:val="008B1602"/>
    <w:rsid w:val="00913753"/>
    <w:rsid w:val="00915F0F"/>
    <w:rsid w:val="0095281D"/>
    <w:rsid w:val="009532DF"/>
    <w:rsid w:val="00957FDE"/>
    <w:rsid w:val="00997019"/>
    <w:rsid w:val="009A5029"/>
    <w:rsid w:val="009D38D5"/>
    <w:rsid w:val="009E1BF7"/>
    <w:rsid w:val="009F043F"/>
    <w:rsid w:val="00A4077A"/>
    <w:rsid w:val="00A534E0"/>
    <w:rsid w:val="00A53F26"/>
    <w:rsid w:val="00A6145C"/>
    <w:rsid w:val="00A81EC6"/>
    <w:rsid w:val="00AA0CC5"/>
    <w:rsid w:val="00AA602F"/>
    <w:rsid w:val="00AC1CC3"/>
    <w:rsid w:val="00AF38F8"/>
    <w:rsid w:val="00B166A4"/>
    <w:rsid w:val="00B16AFE"/>
    <w:rsid w:val="00B64A89"/>
    <w:rsid w:val="00B65DD5"/>
    <w:rsid w:val="00BA7BFC"/>
    <w:rsid w:val="00BD10B6"/>
    <w:rsid w:val="00C00C38"/>
    <w:rsid w:val="00C07076"/>
    <w:rsid w:val="00C470B0"/>
    <w:rsid w:val="00C52E55"/>
    <w:rsid w:val="00CB00DF"/>
    <w:rsid w:val="00CF0F31"/>
    <w:rsid w:val="00D07458"/>
    <w:rsid w:val="00D22078"/>
    <w:rsid w:val="00D653E1"/>
    <w:rsid w:val="00D67986"/>
    <w:rsid w:val="00D73C72"/>
    <w:rsid w:val="00D74D69"/>
    <w:rsid w:val="00D97752"/>
    <w:rsid w:val="00DE100D"/>
    <w:rsid w:val="00E04708"/>
    <w:rsid w:val="00E04BA4"/>
    <w:rsid w:val="00E0592B"/>
    <w:rsid w:val="00E23DAE"/>
    <w:rsid w:val="00E31738"/>
    <w:rsid w:val="00E44C6A"/>
    <w:rsid w:val="00E54AAA"/>
    <w:rsid w:val="00E63677"/>
    <w:rsid w:val="00E76891"/>
    <w:rsid w:val="00E86786"/>
    <w:rsid w:val="00EB2D8B"/>
    <w:rsid w:val="00ED2F80"/>
    <w:rsid w:val="00ED40A8"/>
    <w:rsid w:val="00ED646B"/>
    <w:rsid w:val="00F0397B"/>
    <w:rsid w:val="00F1618C"/>
    <w:rsid w:val="00F1624E"/>
    <w:rsid w:val="00F16A0C"/>
    <w:rsid w:val="00F32F8A"/>
    <w:rsid w:val="00F74787"/>
    <w:rsid w:val="00F810AA"/>
    <w:rsid w:val="00FB1A26"/>
    <w:rsid w:val="00FB43EC"/>
    <w:rsid w:val="00FB6B40"/>
    <w:rsid w:val="00FD200C"/>
    <w:rsid w:val="00FE10B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20AD48"/>
  <w15:docId w15:val="{2492F444-629E-496B-9897-C66A710A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13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A133E"/>
    <w:rPr>
      <w:rFonts w:ascii="Calibri" w:eastAsia="宋体" w:hAnsi="Calibri" w:cs="Times New Roman"/>
      <w:sz w:val="18"/>
      <w:szCs w:val="18"/>
    </w:rPr>
  </w:style>
  <w:style w:type="paragraph" w:styleId="a5">
    <w:name w:val="footer"/>
    <w:basedOn w:val="a"/>
    <w:link w:val="a6"/>
    <w:uiPriority w:val="99"/>
    <w:unhideWhenUsed/>
    <w:rsid w:val="005A133E"/>
    <w:pPr>
      <w:tabs>
        <w:tab w:val="center" w:pos="4153"/>
        <w:tab w:val="right" w:pos="8306"/>
      </w:tabs>
      <w:snapToGrid w:val="0"/>
      <w:jc w:val="left"/>
    </w:pPr>
    <w:rPr>
      <w:sz w:val="18"/>
      <w:szCs w:val="18"/>
    </w:rPr>
  </w:style>
  <w:style w:type="character" w:customStyle="1" w:styleId="a6">
    <w:name w:val="页脚 字符"/>
    <w:basedOn w:val="a0"/>
    <w:link w:val="a5"/>
    <w:uiPriority w:val="99"/>
    <w:rsid w:val="005A133E"/>
    <w:rPr>
      <w:rFonts w:ascii="Calibri" w:eastAsia="宋体" w:hAnsi="Calibri" w:cs="Times New Roman"/>
      <w:sz w:val="18"/>
      <w:szCs w:val="18"/>
    </w:rPr>
  </w:style>
  <w:style w:type="paragraph" w:styleId="a7">
    <w:name w:val="Balloon Text"/>
    <w:basedOn w:val="a"/>
    <w:link w:val="a8"/>
    <w:uiPriority w:val="99"/>
    <w:semiHidden/>
    <w:unhideWhenUsed/>
    <w:rsid w:val="005A133E"/>
    <w:rPr>
      <w:sz w:val="18"/>
      <w:szCs w:val="18"/>
    </w:rPr>
  </w:style>
  <w:style w:type="character" w:customStyle="1" w:styleId="a8">
    <w:name w:val="批注框文本 字符"/>
    <w:basedOn w:val="a0"/>
    <w:link w:val="a7"/>
    <w:uiPriority w:val="99"/>
    <w:semiHidden/>
    <w:rsid w:val="005A133E"/>
    <w:rPr>
      <w:rFonts w:ascii="Calibri" w:eastAsia="宋体" w:hAnsi="Calibri" w:cs="Times New Roman"/>
      <w:sz w:val="18"/>
      <w:szCs w:val="18"/>
    </w:rPr>
  </w:style>
  <w:style w:type="character" w:styleId="a9">
    <w:name w:val="annotation reference"/>
    <w:basedOn w:val="a0"/>
    <w:uiPriority w:val="99"/>
    <w:semiHidden/>
    <w:unhideWhenUsed/>
    <w:rsid w:val="005A133E"/>
    <w:rPr>
      <w:sz w:val="21"/>
      <w:szCs w:val="21"/>
    </w:rPr>
  </w:style>
  <w:style w:type="paragraph" w:styleId="aa">
    <w:name w:val="annotation text"/>
    <w:basedOn w:val="a"/>
    <w:link w:val="ab"/>
    <w:uiPriority w:val="99"/>
    <w:semiHidden/>
    <w:unhideWhenUsed/>
    <w:rsid w:val="005A133E"/>
    <w:pPr>
      <w:jc w:val="left"/>
    </w:pPr>
  </w:style>
  <w:style w:type="character" w:customStyle="1" w:styleId="ab">
    <w:name w:val="批注文字 字符"/>
    <w:basedOn w:val="a0"/>
    <w:link w:val="aa"/>
    <w:uiPriority w:val="99"/>
    <w:semiHidden/>
    <w:rsid w:val="005A133E"/>
    <w:rPr>
      <w:rFonts w:ascii="Calibri" w:eastAsia="宋体" w:hAnsi="Calibri" w:cs="Times New Roman"/>
    </w:rPr>
  </w:style>
  <w:style w:type="paragraph" w:styleId="ac">
    <w:name w:val="annotation subject"/>
    <w:basedOn w:val="aa"/>
    <w:next w:val="aa"/>
    <w:link w:val="ad"/>
    <w:uiPriority w:val="99"/>
    <w:semiHidden/>
    <w:unhideWhenUsed/>
    <w:rsid w:val="005A133E"/>
    <w:rPr>
      <w:b/>
      <w:bCs/>
    </w:rPr>
  </w:style>
  <w:style w:type="character" w:customStyle="1" w:styleId="ad">
    <w:name w:val="批注主题 字符"/>
    <w:basedOn w:val="ab"/>
    <w:link w:val="ac"/>
    <w:uiPriority w:val="99"/>
    <w:semiHidden/>
    <w:rsid w:val="005A133E"/>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46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F679A-B9E5-4C42-9A13-ACF571158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737</Words>
  <Characters>855</Characters>
  <Application>Microsoft Office Word</Application>
  <DocSecurity>0</DocSecurity>
  <Lines>47</Lines>
  <Paragraphs>27</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kai woo</cp:lastModifiedBy>
  <cp:revision>4</cp:revision>
  <dcterms:created xsi:type="dcterms:W3CDTF">2021-02-24T06:49:00Z</dcterms:created>
  <dcterms:modified xsi:type="dcterms:W3CDTF">2021-02-24T06:51:00Z</dcterms:modified>
</cp:coreProperties>
</file>