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before="156" w:beforeLines="50" w:after="156" w:afterLines="50"/>
        <w:jc w:val="left"/>
        <w:rPr>
          <w:b/>
          <w:szCs w:val="21"/>
        </w:rPr>
      </w:pPr>
      <w:r>
        <w:rPr>
          <w:b/>
          <w:szCs w:val="21"/>
        </w:rPr>
        <w:t>附件2</w:t>
      </w:r>
    </w:p>
    <w:p>
      <w:pPr>
        <w:spacing w:before="156" w:beforeLines="50" w:after="156" w:afterLines="50"/>
        <w:jc w:val="center"/>
        <w:rPr>
          <w:rFonts w:hint="eastAsia"/>
          <w:sz w:val="30"/>
          <w:szCs w:val="30"/>
        </w:rPr>
      </w:pPr>
      <w:r>
        <w:rPr>
          <w:sz w:val="30"/>
          <w:szCs w:val="30"/>
        </w:rPr>
        <w:t>经营者集中简易案件公示表</w:t>
      </w:r>
    </w:p>
    <w:tbl>
      <w:tblPr>
        <w:tblStyle w:val="2"/>
        <w:tblW w:w="8758"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09"/>
        <w:gridCol w:w="1796"/>
        <w:gridCol w:w="515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before="156" w:beforeLines="50" w:after="156" w:afterLines="50"/>
              <w:jc w:val="center"/>
              <w:rPr>
                <w:rFonts w:cs="宋体"/>
                <w:color w:val="333333"/>
                <w:kern w:val="0"/>
                <w:sz w:val="24"/>
                <w:szCs w:val="24"/>
              </w:rPr>
            </w:pPr>
            <w:r>
              <w:rPr>
                <w:rFonts w:cs="宋体"/>
                <w:color w:val="333333"/>
                <w:kern w:val="0"/>
                <w:sz w:val="24"/>
                <w:szCs w:val="24"/>
              </w:rPr>
              <w:t>案件名称</w:t>
            </w:r>
          </w:p>
        </w:tc>
        <w:tc>
          <w:tcPr>
            <w:tcW w:w="6949" w:type="dxa"/>
            <w:gridSpan w:val="2"/>
          </w:tcPr>
          <w:p>
            <w:pPr>
              <w:spacing w:before="156" w:beforeLines="50" w:after="156" w:afterLines="50"/>
              <w:rPr>
                <w:rFonts w:cs="宋体"/>
                <w:color w:val="333333"/>
                <w:kern w:val="0"/>
                <w:sz w:val="24"/>
                <w:szCs w:val="24"/>
              </w:rPr>
            </w:pPr>
            <w:r>
              <w:rPr>
                <w:rFonts w:hint="eastAsia" w:cs="宋体"/>
                <w:color w:val="333333"/>
                <w:kern w:val="0"/>
                <w:sz w:val="24"/>
                <w:szCs w:val="24"/>
              </w:rPr>
              <w:t>福建华龙生物科技集团有限公司收购龙岩中粮华港饲料有限公司等六家公司股权案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93" w:hRule="atLeast"/>
        </w:trPr>
        <w:tc>
          <w:tcPr>
            <w:tcW w:w="1809" w:type="dxa"/>
            <w:shd w:val="clear" w:color="auto" w:fill="D9D9D9"/>
            <w:vAlign w:val="center"/>
          </w:tcPr>
          <w:p>
            <w:pPr>
              <w:spacing w:before="156" w:beforeLines="50" w:after="156" w:afterLines="50"/>
              <w:jc w:val="center"/>
              <w:rPr>
                <w:rFonts w:cs="宋体"/>
                <w:color w:val="333333"/>
                <w:kern w:val="0"/>
                <w:sz w:val="24"/>
                <w:szCs w:val="24"/>
              </w:rPr>
            </w:pPr>
            <w:r>
              <w:rPr>
                <w:rFonts w:cs="宋体"/>
                <w:color w:val="333333"/>
                <w:kern w:val="0"/>
                <w:sz w:val="24"/>
                <w:szCs w:val="24"/>
              </w:rPr>
              <w:t>交易概况</w:t>
            </w:r>
          </w:p>
          <w:p>
            <w:pPr>
              <w:spacing w:before="156" w:beforeLines="50" w:after="156" w:afterLines="50"/>
              <w:jc w:val="center"/>
              <w:rPr>
                <w:rFonts w:cs="宋体"/>
                <w:color w:val="333333"/>
                <w:kern w:val="0"/>
                <w:sz w:val="24"/>
                <w:szCs w:val="24"/>
              </w:rPr>
            </w:pPr>
            <w:r>
              <w:rPr>
                <w:rFonts w:cs="宋体"/>
                <w:color w:val="333333"/>
                <w:kern w:val="0"/>
                <w:sz w:val="24"/>
                <w:szCs w:val="24"/>
              </w:rPr>
              <w:t>（限200字内）</w:t>
            </w:r>
          </w:p>
        </w:tc>
        <w:tc>
          <w:tcPr>
            <w:tcW w:w="6949" w:type="dxa"/>
            <w:gridSpan w:val="2"/>
          </w:tcPr>
          <w:p>
            <w:pPr>
              <w:spacing w:before="156" w:beforeLines="50" w:after="156" w:afterLines="50"/>
              <w:rPr>
                <w:rFonts w:hint="eastAsia" w:cs="宋体"/>
                <w:color w:val="333333"/>
                <w:kern w:val="0"/>
                <w:sz w:val="24"/>
                <w:szCs w:val="24"/>
              </w:rPr>
            </w:pPr>
            <w:r>
              <w:rPr>
                <w:rFonts w:hint="eastAsia" w:cs="宋体"/>
                <w:color w:val="333333"/>
                <w:kern w:val="0"/>
                <w:sz w:val="24"/>
                <w:szCs w:val="24"/>
              </w:rPr>
              <w:t>福建华龙生物科技集团有限公司（“</w:t>
            </w:r>
            <w:r>
              <w:rPr>
                <w:rFonts w:cs="宋体"/>
                <w:color w:val="333333"/>
                <w:kern w:val="0"/>
                <w:sz w:val="24"/>
                <w:szCs w:val="24"/>
              </w:rPr>
              <w:t>华龙生物</w:t>
            </w:r>
            <w:r>
              <w:rPr>
                <w:rFonts w:hint="eastAsia" w:cs="宋体"/>
                <w:color w:val="333333"/>
                <w:kern w:val="0"/>
                <w:sz w:val="24"/>
                <w:szCs w:val="24"/>
              </w:rPr>
              <w:t>”）参与竞拍了福建中粮华港饲料有限公司（“福建中粮”）</w:t>
            </w:r>
            <w:r>
              <w:rPr>
                <w:rFonts w:cs="宋体"/>
                <w:color w:val="333333"/>
                <w:kern w:val="0"/>
                <w:sz w:val="24"/>
                <w:szCs w:val="24"/>
              </w:rPr>
              <w:t>所持有的</w:t>
            </w:r>
            <w:r>
              <w:rPr>
                <w:rFonts w:hint="eastAsia" w:cs="宋体"/>
                <w:color w:val="333333"/>
                <w:kern w:val="0"/>
                <w:sz w:val="24"/>
                <w:szCs w:val="24"/>
              </w:rPr>
              <w:t>龙岩中粮华港饲料有限公司</w:t>
            </w:r>
            <w:r>
              <w:rPr>
                <w:rFonts w:hint="eastAsia" w:cs="宋体"/>
                <w:color w:val="333333"/>
                <w:kern w:val="0"/>
                <w:sz w:val="24"/>
                <w:szCs w:val="24"/>
                <w:lang w:eastAsia="zh-CN"/>
              </w:rPr>
              <w:t>、</w:t>
            </w:r>
            <w:r>
              <w:rPr>
                <w:rFonts w:hint="eastAsia" w:cs="宋体"/>
                <w:color w:val="333333"/>
                <w:kern w:val="0"/>
                <w:sz w:val="24"/>
                <w:szCs w:val="24"/>
              </w:rPr>
              <w:t>南平中粮华港饲料有限公司</w:t>
            </w:r>
            <w:r>
              <w:rPr>
                <w:rFonts w:hint="eastAsia" w:cs="宋体"/>
                <w:color w:val="333333"/>
                <w:kern w:val="0"/>
                <w:sz w:val="24"/>
                <w:szCs w:val="24"/>
                <w:lang w:eastAsia="zh-CN"/>
              </w:rPr>
              <w:t>、</w:t>
            </w:r>
            <w:r>
              <w:rPr>
                <w:rFonts w:hint="eastAsia" w:cs="宋体"/>
                <w:color w:val="333333"/>
                <w:kern w:val="0"/>
                <w:sz w:val="24"/>
                <w:szCs w:val="24"/>
              </w:rPr>
              <w:t>漳州中粮华港饲料有限公司</w:t>
            </w:r>
            <w:r>
              <w:rPr>
                <w:rFonts w:hint="eastAsia" w:cs="宋体"/>
                <w:color w:val="333333"/>
                <w:kern w:val="0"/>
                <w:sz w:val="24"/>
                <w:szCs w:val="24"/>
                <w:lang w:eastAsia="zh-CN"/>
              </w:rPr>
              <w:t>、</w:t>
            </w:r>
            <w:r>
              <w:rPr>
                <w:rFonts w:hint="eastAsia" w:cs="宋体"/>
                <w:color w:val="333333"/>
                <w:kern w:val="0"/>
                <w:sz w:val="24"/>
                <w:szCs w:val="24"/>
              </w:rPr>
              <w:t>宁德中粮华港饲料有限公司</w:t>
            </w:r>
            <w:r>
              <w:rPr>
                <w:rFonts w:hint="eastAsia" w:cs="宋体"/>
                <w:color w:val="333333"/>
                <w:kern w:val="0"/>
                <w:sz w:val="24"/>
                <w:szCs w:val="24"/>
                <w:lang w:eastAsia="zh-CN"/>
              </w:rPr>
              <w:t>、</w:t>
            </w:r>
            <w:r>
              <w:rPr>
                <w:rFonts w:hint="eastAsia" w:cs="宋体"/>
                <w:color w:val="333333"/>
                <w:kern w:val="0"/>
                <w:sz w:val="24"/>
                <w:szCs w:val="24"/>
              </w:rPr>
              <w:t>武平中粮华港饲料有限公司</w:t>
            </w:r>
            <w:r>
              <w:rPr>
                <w:rFonts w:hint="eastAsia" w:cs="宋体"/>
                <w:color w:val="333333"/>
                <w:kern w:val="0"/>
                <w:sz w:val="24"/>
                <w:szCs w:val="24"/>
                <w:lang w:eastAsia="zh-CN"/>
              </w:rPr>
              <w:t>、</w:t>
            </w:r>
            <w:r>
              <w:rPr>
                <w:rFonts w:hint="eastAsia" w:cs="宋体"/>
                <w:color w:val="333333"/>
                <w:kern w:val="0"/>
                <w:sz w:val="24"/>
                <w:szCs w:val="24"/>
              </w:rPr>
              <w:t>永安中粮华港饲料有限公司</w:t>
            </w:r>
            <w:r>
              <w:rPr>
                <w:rFonts w:hint="eastAsia" w:cs="宋体"/>
                <w:color w:val="333333"/>
                <w:kern w:val="0"/>
                <w:sz w:val="24"/>
                <w:szCs w:val="24"/>
                <w:lang w:val="en-US" w:eastAsia="zh-CN"/>
              </w:rPr>
              <w:t>6家公司（合称“目标公司”）各</w:t>
            </w:r>
            <w:r>
              <w:rPr>
                <w:rFonts w:cs="宋体"/>
                <w:color w:val="333333"/>
                <w:kern w:val="0"/>
                <w:sz w:val="24"/>
                <w:szCs w:val="24"/>
              </w:rPr>
              <w:t>100%股权项目的联合转让</w:t>
            </w:r>
            <w:r>
              <w:rPr>
                <w:rFonts w:hint="eastAsia" w:cs="宋体"/>
                <w:color w:val="333333"/>
                <w:kern w:val="0"/>
                <w:sz w:val="24"/>
                <w:szCs w:val="24"/>
              </w:rPr>
              <w:t>。</w:t>
            </w:r>
            <w:bookmarkStart w:id="0" w:name="OLE_LINK24"/>
            <w:bookmarkStart w:id="1" w:name="OLE_LINK23"/>
            <w:r>
              <w:rPr>
                <w:rFonts w:cs="宋体"/>
                <w:color w:val="333333"/>
                <w:kern w:val="0"/>
                <w:sz w:val="24"/>
                <w:szCs w:val="24"/>
              </w:rPr>
              <w:t>华龙生物</w:t>
            </w:r>
            <w:r>
              <w:rPr>
                <w:rFonts w:hint="eastAsia" w:cs="宋体"/>
                <w:color w:val="333333"/>
                <w:kern w:val="0"/>
                <w:sz w:val="24"/>
                <w:szCs w:val="24"/>
                <w:lang w:val="en-US" w:eastAsia="zh-CN"/>
              </w:rPr>
              <w:t>已</w:t>
            </w:r>
            <w:r>
              <w:rPr>
                <w:rFonts w:hint="eastAsia" w:cs="宋体"/>
                <w:color w:val="333333"/>
                <w:kern w:val="0"/>
                <w:sz w:val="24"/>
                <w:szCs w:val="24"/>
              </w:rPr>
              <w:t>成功拍得</w:t>
            </w:r>
            <w:r>
              <w:rPr>
                <w:rFonts w:hint="eastAsia" w:cs="宋体"/>
                <w:color w:val="333333"/>
                <w:kern w:val="0"/>
                <w:sz w:val="24"/>
                <w:szCs w:val="24"/>
                <w:lang w:val="en-US" w:eastAsia="zh-CN"/>
              </w:rPr>
              <w:t>上述6家公司</w:t>
            </w:r>
            <w:r>
              <w:rPr>
                <w:rFonts w:hint="eastAsia" w:cs="宋体"/>
                <w:color w:val="333333"/>
                <w:kern w:val="0"/>
                <w:sz w:val="24"/>
                <w:szCs w:val="24"/>
              </w:rPr>
              <w:t>股权，</w:t>
            </w:r>
            <w:bookmarkEnd w:id="0"/>
            <w:bookmarkEnd w:id="1"/>
            <w:r>
              <w:rPr>
                <w:rFonts w:hint="eastAsia" w:cs="宋体"/>
                <w:color w:val="333333"/>
                <w:kern w:val="0"/>
                <w:sz w:val="24"/>
                <w:szCs w:val="24"/>
              </w:rPr>
              <w:t>最终</w:t>
            </w:r>
            <w:r>
              <w:rPr>
                <w:rFonts w:cs="宋体"/>
                <w:color w:val="333333"/>
                <w:kern w:val="0"/>
                <w:sz w:val="24"/>
                <w:szCs w:val="24"/>
              </w:rPr>
              <w:t>成交价格为27,119.13万元</w:t>
            </w:r>
            <w:r>
              <w:rPr>
                <w:rFonts w:hint="eastAsia" w:cs="宋体"/>
                <w:color w:val="333333"/>
                <w:kern w:val="0"/>
                <w:sz w:val="24"/>
                <w:szCs w:val="24"/>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8" w:hRule="atLeast"/>
        </w:trPr>
        <w:tc>
          <w:tcPr>
            <w:tcW w:w="1809" w:type="dxa"/>
            <w:vMerge w:val="restart"/>
            <w:shd w:val="clear" w:color="auto" w:fill="D9D9D9"/>
            <w:vAlign w:val="center"/>
          </w:tcPr>
          <w:p>
            <w:pPr>
              <w:spacing w:before="156" w:beforeLines="50" w:after="156" w:afterLines="50"/>
              <w:jc w:val="center"/>
              <w:rPr>
                <w:rFonts w:cs="宋体"/>
                <w:color w:val="333333"/>
                <w:kern w:val="0"/>
                <w:sz w:val="24"/>
                <w:szCs w:val="24"/>
              </w:rPr>
            </w:pPr>
            <w:r>
              <w:rPr>
                <w:rFonts w:cs="宋体"/>
                <w:color w:val="333333"/>
                <w:kern w:val="0"/>
                <w:sz w:val="24"/>
                <w:szCs w:val="24"/>
              </w:rPr>
              <w:t>参与集中的</w:t>
            </w:r>
          </w:p>
          <w:p>
            <w:pPr>
              <w:spacing w:before="156" w:beforeLines="50" w:after="156" w:afterLines="50"/>
              <w:jc w:val="center"/>
              <w:rPr>
                <w:rFonts w:cs="宋体"/>
                <w:color w:val="333333"/>
                <w:kern w:val="0"/>
                <w:sz w:val="24"/>
                <w:szCs w:val="24"/>
              </w:rPr>
            </w:pPr>
            <w:r>
              <w:rPr>
                <w:rFonts w:cs="宋体"/>
                <w:color w:val="333333"/>
                <w:kern w:val="0"/>
                <w:sz w:val="24"/>
                <w:szCs w:val="24"/>
              </w:rPr>
              <w:t>经营者简介</w:t>
            </w:r>
          </w:p>
        </w:tc>
        <w:tc>
          <w:tcPr>
            <w:tcW w:w="1796" w:type="dxa"/>
          </w:tcPr>
          <w:p>
            <w:pPr>
              <w:spacing w:before="156" w:beforeLines="50" w:after="156" w:afterLines="50"/>
              <w:rPr>
                <w:rFonts w:cs="宋体"/>
                <w:color w:val="333333"/>
                <w:kern w:val="0"/>
                <w:sz w:val="24"/>
                <w:szCs w:val="24"/>
              </w:rPr>
            </w:pPr>
            <w:r>
              <w:rPr>
                <w:rFonts w:cs="宋体"/>
                <w:color w:val="333333"/>
                <w:kern w:val="0"/>
                <w:sz w:val="24"/>
                <w:szCs w:val="24"/>
              </w:rPr>
              <w:t>1、华龙生物</w:t>
            </w:r>
          </w:p>
        </w:tc>
        <w:tc>
          <w:tcPr>
            <w:tcW w:w="5153" w:type="dxa"/>
          </w:tcPr>
          <w:p>
            <w:pPr>
              <w:spacing w:before="156" w:beforeLines="50" w:after="156" w:afterLines="50"/>
              <w:rPr>
                <w:rFonts w:hint="eastAsia" w:cs="宋体"/>
                <w:color w:val="333333"/>
                <w:kern w:val="0"/>
                <w:sz w:val="24"/>
                <w:szCs w:val="24"/>
              </w:rPr>
            </w:pPr>
            <w:r>
              <w:rPr>
                <w:rFonts w:hint="eastAsia" w:cs="宋体"/>
                <w:color w:val="333333"/>
                <w:kern w:val="0"/>
                <w:sz w:val="24"/>
                <w:szCs w:val="24"/>
              </w:rPr>
              <w:t>华龙生物设立于2020年12月3日，是福建天马科技集团股份有限公司（“天马科技”）的控股孙公司。天马科技于2</w:t>
            </w:r>
            <w:r>
              <w:rPr>
                <w:rFonts w:cs="宋体"/>
                <w:color w:val="333333"/>
                <w:kern w:val="0"/>
                <w:sz w:val="24"/>
                <w:szCs w:val="24"/>
              </w:rPr>
              <w:t>017</w:t>
            </w:r>
            <w:r>
              <w:rPr>
                <w:rFonts w:hint="eastAsia" w:cs="宋体"/>
                <w:color w:val="333333"/>
                <w:kern w:val="0"/>
                <w:sz w:val="24"/>
                <w:szCs w:val="24"/>
              </w:rPr>
              <w:t>年在上交所挂牌上市，其主营业务包括水产配合饲料、畜禽饲料的研发、生产和销售。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4" w:hRule="atLeast"/>
        </w:trPr>
        <w:tc>
          <w:tcPr>
            <w:tcW w:w="1809" w:type="dxa"/>
            <w:vMerge w:val="continue"/>
            <w:shd w:val="clear" w:color="auto" w:fill="D9D9D9"/>
            <w:vAlign w:val="center"/>
          </w:tcPr>
          <w:p>
            <w:pPr>
              <w:spacing w:before="156" w:beforeLines="50" w:after="156" w:afterLines="50"/>
              <w:jc w:val="center"/>
              <w:rPr>
                <w:rFonts w:cs="宋体"/>
                <w:color w:val="333333"/>
                <w:kern w:val="0"/>
                <w:sz w:val="24"/>
                <w:szCs w:val="24"/>
              </w:rPr>
            </w:pPr>
          </w:p>
        </w:tc>
        <w:tc>
          <w:tcPr>
            <w:tcW w:w="1796" w:type="dxa"/>
          </w:tcPr>
          <w:p>
            <w:pPr>
              <w:spacing w:before="156" w:beforeLines="50" w:after="156" w:afterLines="50"/>
              <w:rPr>
                <w:rFonts w:hint="eastAsia" w:eastAsia="宋体" w:cs="宋体"/>
                <w:color w:val="333333"/>
                <w:kern w:val="0"/>
                <w:sz w:val="24"/>
                <w:szCs w:val="24"/>
                <w:lang w:eastAsia="zh-CN"/>
              </w:rPr>
            </w:pPr>
            <w:r>
              <w:rPr>
                <w:rFonts w:cs="宋体"/>
                <w:color w:val="333333"/>
                <w:kern w:val="0"/>
                <w:sz w:val="24"/>
                <w:szCs w:val="24"/>
              </w:rPr>
              <w:t>2、</w:t>
            </w:r>
            <w:r>
              <w:rPr>
                <w:rFonts w:hint="eastAsia" w:cs="宋体"/>
                <w:color w:val="333333"/>
                <w:kern w:val="0"/>
                <w:sz w:val="24"/>
                <w:szCs w:val="24"/>
                <w:lang w:val="en-US" w:eastAsia="zh-CN"/>
              </w:rPr>
              <w:t>目标公司</w:t>
            </w:r>
          </w:p>
        </w:tc>
        <w:tc>
          <w:tcPr>
            <w:tcW w:w="5153" w:type="dxa"/>
          </w:tcPr>
          <w:p>
            <w:pPr>
              <w:spacing w:before="156" w:beforeLines="50" w:after="156" w:afterLines="50"/>
              <w:rPr>
                <w:rFonts w:hint="default" w:eastAsia="宋体" w:cs="宋体"/>
                <w:color w:val="333333"/>
                <w:kern w:val="0"/>
                <w:sz w:val="24"/>
                <w:szCs w:val="24"/>
                <w:lang w:val="en-US" w:eastAsia="zh-CN"/>
              </w:rPr>
            </w:pPr>
            <w:r>
              <w:rPr>
                <w:rFonts w:hint="eastAsia" w:cs="宋体"/>
                <w:color w:val="333333"/>
                <w:kern w:val="0"/>
                <w:sz w:val="24"/>
                <w:szCs w:val="24"/>
                <w:lang w:val="en-US" w:eastAsia="zh-CN"/>
              </w:rPr>
              <w:t>6家目标公司均为福建中粮的全资子公司，主要从事猪饲料、鸭饲料、鸡饲料的</w:t>
            </w:r>
            <w:bookmarkStart w:id="2" w:name="_GoBack"/>
            <w:bookmarkEnd w:id="2"/>
            <w:r>
              <w:rPr>
                <w:rFonts w:hint="eastAsia" w:cs="宋体"/>
                <w:color w:val="333333"/>
                <w:kern w:val="0"/>
                <w:sz w:val="24"/>
                <w:szCs w:val="24"/>
                <w:lang w:val="en-US" w:eastAsia="zh-CN"/>
              </w:rPr>
              <w:t>生产、销售业务。</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9" w:hRule="atLeast"/>
        </w:trPr>
        <w:tc>
          <w:tcPr>
            <w:tcW w:w="1809" w:type="dxa"/>
            <w:vMerge w:val="restart"/>
            <w:shd w:val="clear" w:color="auto" w:fill="D9D9D9"/>
            <w:vAlign w:val="center"/>
          </w:tcPr>
          <w:p>
            <w:pPr>
              <w:spacing w:before="156" w:beforeLines="50" w:after="156" w:afterLines="50"/>
              <w:jc w:val="center"/>
              <w:rPr>
                <w:rFonts w:cs="宋体"/>
                <w:color w:val="333333"/>
                <w:kern w:val="0"/>
                <w:sz w:val="24"/>
                <w:szCs w:val="24"/>
              </w:rPr>
            </w:pPr>
            <w:r>
              <w:rPr>
                <w:rFonts w:cs="宋体"/>
                <w:color w:val="333333"/>
                <w:kern w:val="0"/>
                <w:sz w:val="24"/>
                <w:szCs w:val="24"/>
              </w:rPr>
              <w:t>简易案件理由（可以单选，也可以多选）</w:t>
            </w:r>
          </w:p>
        </w:tc>
        <w:tc>
          <w:tcPr>
            <w:tcW w:w="6949" w:type="dxa"/>
            <w:gridSpan w:val="2"/>
          </w:tcPr>
          <w:p>
            <w:pPr>
              <w:spacing w:before="156" w:beforeLines="50" w:after="156" w:afterLines="50"/>
              <w:rPr>
                <w:rFonts w:cs="宋体"/>
                <w:color w:val="333333"/>
                <w:kern w:val="0"/>
                <w:sz w:val="24"/>
                <w:szCs w:val="24"/>
              </w:rPr>
            </w:pPr>
            <w:r>
              <w:rPr>
                <w:rFonts w:cs="宋体"/>
                <w:color w:val="333333"/>
                <w:kern w:val="0"/>
                <w:sz w:val="24"/>
                <w:szCs w:val="24"/>
              </w:rPr>
              <w:sym w:font="Wingdings" w:char="F0FE"/>
            </w:r>
            <w:r>
              <w:rPr>
                <w:rFonts w:cs="宋体"/>
                <w:color w:val="333333"/>
                <w:kern w:val="0"/>
                <w:sz w:val="24"/>
                <w:szCs w:val="24"/>
              </w:rPr>
              <w:t xml:space="preserve"> 1.在同一相关市场，所有参与集中的经营者所占市场份额之和小于15%。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0" w:hRule="atLeast"/>
        </w:trPr>
        <w:tc>
          <w:tcPr>
            <w:tcW w:w="1809" w:type="dxa"/>
            <w:vMerge w:val="continue"/>
            <w:shd w:val="clear" w:color="auto" w:fill="D9D9D9"/>
            <w:vAlign w:val="center"/>
          </w:tcPr>
          <w:p>
            <w:pPr>
              <w:spacing w:before="156" w:beforeLines="50" w:after="156" w:afterLines="50"/>
              <w:jc w:val="center"/>
              <w:rPr>
                <w:rFonts w:cs="宋体"/>
                <w:color w:val="333333"/>
                <w:kern w:val="0"/>
                <w:sz w:val="24"/>
                <w:szCs w:val="24"/>
              </w:rPr>
            </w:pPr>
          </w:p>
        </w:tc>
        <w:tc>
          <w:tcPr>
            <w:tcW w:w="6949" w:type="dxa"/>
            <w:gridSpan w:val="2"/>
          </w:tcPr>
          <w:p>
            <w:pPr>
              <w:spacing w:before="156" w:beforeLines="50" w:after="156" w:afterLines="50"/>
              <w:rPr>
                <w:rFonts w:cs="宋体"/>
                <w:color w:val="333333"/>
                <w:kern w:val="0"/>
                <w:sz w:val="24"/>
                <w:szCs w:val="24"/>
              </w:rPr>
            </w:pPr>
            <w:r>
              <w:rPr>
                <w:rFonts w:cs="宋体"/>
                <w:color w:val="333333"/>
                <w:kern w:val="0"/>
                <w:sz w:val="24"/>
                <w:szCs w:val="24"/>
              </w:rPr>
              <w:sym w:font="Wingdings" w:char="F0A8"/>
            </w:r>
            <w:r>
              <w:rPr>
                <w:rFonts w:cs="宋体"/>
                <w:color w:val="333333"/>
                <w:kern w:val="0"/>
                <w:sz w:val="24"/>
                <w:szCs w:val="24"/>
              </w:rPr>
              <w:t xml:space="preserve"> 2.存在上下游关系的参与集中的经营者，在上下游市场所占的市场份额均小于25%。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85" w:hRule="atLeast"/>
        </w:trPr>
        <w:tc>
          <w:tcPr>
            <w:tcW w:w="1809" w:type="dxa"/>
            <w:vMerge w:val="continue"/>
            <w:shd w:val="clear" w:color="auto" w:fill="D9D9D9"/>
            <w:vAlign w:val="center"/>
          </w:tcPr>
          <w:p>
            <w:pPr>
              <w:spacing w:before="156" w:beforeLines="50" w:after="156" w:afterLines="50"/>
              <w:jc w:val="center"/>
              <w:rPr>
                <w:rFonts w:cs="宋体"/>
                <w:color w:val="333333"/>
                <w:kern w:val="0"/>
                <w:sz w:val="24"/>
                <w:szCs w:val="24"/>
              </w:rPr>
            </w:pPr>
          </w:p>
        </w:tc>
        <w:tc>
          <w:tcPr>
            <w:tcW w:w="6949" w:type="dxa"/>
            <w:gridSpan w:val="2"/>
          </w:tcPr>
          <w:p>
            <w:pPr>
              <w:spacing w:before="156" w:beforeLines="50" w:after="156" w:afterLines="50"/>
              <w:rPr>
                <w:rFonts w:cs="宋体"/>
                <w:color w:val="333333"/>
                <w:kern w:val="0"/>
                <w:sz w:val="24"/>
                <w:szCs w:val="24"/>
              </w:rPr>
            </w:pPr>
            <w:r>
              <w:rPr>
                <w:rFonts w:cs="宋体"/>
                <w:color w:val="333333"/>
                <w:kern w:val="0"/>
                <w:sz w:val="24"/>
                <w:szCs w:val="24"/>
              </w:rPr>
              <w:sym w:font="Wingdings" w:char="F0A8"/>
            </w:r>
            <w:r>
              <w:rPr>
                <w:rFonts w:cs="宋体"/>
                <w:color w:val="333333"/>
                <w:kern w:val="0"/>
                <w:sz w:val="24"/>
                <w:szCs w:val="24"/>
              </w:rPr>
              <w:t xml:space="preserve"> 3.不在同一相关市场、也不存在上下游关系的参与集中的经营者，在与交易有关的每个市场所占的份额均小于25%。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0" w:hRule="atLeast"/>
        </w:trPr>
        <w:tc>
          <w:tcPr>
            <w:tcW w:w="1809" w:type="dxa"/>
            <w:vMerge w:val="continue"/>
            <w:shd w:val="clear" w:color="auto" w:fill="D9D9D9"/>
            <w:vAlign w:val="center"/>
          </w:tcPr>
          <w:p>
            <w:pPr>
              <w:spacing w:before="156" w:beforeLines="50" w:after="156" w:afterLines="50"/>
              <w:jc w:val="center"/>
              <w:rPr>
                <w:rFonts w:cs="宋体"/>
                <w:color w:val="333333"/>
                <w:kern w:val="0"/>
                <w:sz w:val="24"/>
                <w:szCs w:val="24"/>
              </w:rPr>
            </w:pPr>
          </w:p>
        </w:tc>
        <w:tc>
          <w:tcPr>
            <w:tcW w:w="6949" w:type="dxa"/>
            <w:gridSpan w:val="2"/>
          </w:tcPr>
          <w:p>
            <w:pPr>
              <w:spacing w:before="156" w:beforeLines="50" w:after="156" w:afterLines="50"/>
              <w:rPr>
                <w:rFonts w:cs="宋体"/>
                <w:color w:val="333333"/>
                <w:kern w:val="0"/>
                <w:sz w:val="24"/>
                <w:szCs w:val="24"/>
              </w:rPr>
            </w:pPr>
            <w:r>
              <w:rPr>
                <w:rFonts w:cs="宋体"/>
                <w:color w:val="333333"/>
                <w:kern w:val="0"/>
                <w:sz w:val="24"/>
                <w:szCs w:val="24"/>
              </w:rPr>
              <w:sym w:font="Wingdings" w:char="F0A8"/>
            </w:r>
            <w:r>
              <w:rPr>
                <w:rFonts w:cs="宋体"/>
                <w:color w:val="333333"/>
                <w:kern w:val="0"/>
                <w:sz w:val="24"/>
                <w:szCs w:val="24"/>
              </w:rPr>
              <w:t xml:space="preserve"> 4.参与集中的经营者在中国境外设立合营企业，合营企业不在中国境内从事经济活动。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64" w:hRule="atLeast"/>
        </w:trPr>
        <w:tc>
          <w:tcPr>
            <w:tcW w:w="1809" w:type="dxa"/>
            <w:vMerge w:val="continue"/>
            <w:shd w:val="clear" w:color="auto" w:fill="D9D9D9"/>
            <w:vAlign w:val="center"/>
          </w:tcPr>
          <w:p>
            <w:pPr>
              <w:spacing w:before="156" w:beforeLines="50" w:after="156" w:afterLines="50"/>
              <w:jc w:val="center"/>
              <w:rPr>
                <w:rFonts w:cs="宋体"/>
                <w:color w:val="333333"/>
                <w:kern w:val="0"/>
                <w:sz w:val="24"/>
                <w:szCs w:val="24"/>
              </w:rPr>
            </w:pPr>
          </w:p>
        </w:tc>
        <w:tc>
          <w:tcPr>
            <w:tcW w:w="6949" w:type="dxa"/>
            <w:gridSpan w:val="2"/>
          </w:tcPr>
          <w:p>
            <w:pPr>
              <w:spacing w:before="156" w:beforeLines="50" w:after="156" w:afterLines="50"/>
              <w:rPr>
                <w:rFonts w:cs="宋体"/>
                <w:color w:val="333333"/>
                <w:kern w:val="0"/>
                <w:sz w:val="24"/>
                <w:szCs w:val="24"/>
              </w:rPr>
            </w:pPr>
            <w:r>
              <w:rPr>
                <w:rFonts w:cs="宋体"/>
                <w:color w:val="333333"/>
                <w:kern w:val="0"/>
                <w:sz w:val="24"/>
                <w:szCs w:val="24"/>
              </w:rPr>
              <w:sym w:font="Wingdings" w:char="F0A8"/>
            </w:r>
            <w:r>
              <w:rPr>
                <w:rFonts w:cs="宋体"/>
                <w:color w:val="333333"/>
                <w:kern w:val="0"/>
                <w:sz w:val="24"/>
                <w:szCs w:val="24"/>
              </w:rPr>
              <w:t xml:space="preserve"> 5.参与集中的经营者收购境外企业股权或资产的，该境外企业不在中国境内从事经济活动。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5" w:hRule="atLeast"/>
        </w:trPr>
        <w:tc>
          <w:tcPr>
            <w:tcW w:w="1809" w:type="dxa"/>
            <w:vMerge w:val="continue"/>
            <w:shd w:val="clear" w:color="auto" w:fill="D9D9D9"/>
            <w:vAlign w:val="center"/>
          </w:tcPr>
          <w:p>
            <w:pPr>
              <w:spacing w:before="156" w:beforeLines="50" w:after="156" w:afterLines="50"/>
              <w:jc w:val="center"/>
              <w:rPr>
                <w:rFonts w:cs="宋体"/>
                <w:color w:val="333333"/>
                <w:kern w:val="0"/>
                <w:sz w:val="24"/>
                <w:szCs w:val="24"/>
              </w:rPr>
            </w:pPr>
          </w:p>
        </w:tc>
        <w:tc>
          <w:tcPr>
            <w:tcW w:w="6949" w:type="dxa"/>
            <w:gridSpan w:val="2"/>
          </w:tcPr>
          <w:p>
            <w:pPr>
              <w:spacing w:before="156" w:beforeLines="50" w:after="156" w:afterLines="50"/>
              <w:rPr>
                <w:rFonts w:cs="宋体"/>
                <w:color w:val="333333"/>
                <w:kern w:val="0"/>
                <w:sz w:val="24"/>
                <w:szCs w:val="24"/>
              </w:rPr>
            </w:pPr>
            <w:r>
              <w:rPr>
                <w:rFonts w:cs="宋体"/>
                <w:color w:val="333333"/>
                <w:kern w:val="0"/>
                <w:sz w:val="24"/>
                <w:szCs w:val="24"/>
              </w:rPr>
              <w:sym w:font="Wingdings" w:char="F0A8"/>
            </w:r>
            <w:r>
              <w:rPr>
                <w:rFonts w:cs="宋体"/>
                <w:color w:val="333333"/>
                <w:kern w:val="0"/>
                <w:sz w:val="24"/>
                <w:szCs w:val="24"/>
              </w:rPr>
              <w:t xml:space="preserve"> 6.由两个以上的经营者共同控制的合营企业，通过集中被其中一个或一个以上经营者控制。</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809" w:type="dxa"/>
            <w:shd w:val="clear" w:color="auto" w:fill="D9D9D9"/>
            <w:vAlign w:val="center"/>
          </w:tcPr>
          <w:p>
            <w:pPr>
              <w:spacing w:before="156" w:beforeLines="50" w:after="156" w:afterLines="50"/>
              <w:jc w:val="center"/>
              <w:rPr>
                <w:rFonts w:cs="宋体"/>
                <w:color w:val="333333"/>
                <w:kern w:val="0"/>
                <w:sz w:val="24"/>
                <w:szCs w:val="24"/>
              </w:rPr>
            </w:pPr>
            <w:r>
              <w:rPr>
                <w:rFonts w:cs="宋体"/>
                <w:color w:val="333333"/>
                <w:kern w:val="0"/>
                <w:sz w:val="24"/>
                <w:szCs w:val="24"/>
              </w:rPr>
              <w:t>备注</w:t>
            </w:r>
          </w:p>
        </w:tc>
        <w:tc>
          <w:tcPr>
            <w:tcW w:w="6949" w:type="dxa"/>
            <w:gridSpan w:val="2"/>
          </w:tcPr>
          <w:p>
            <w:pPr>
              <w:pStyle w:val="4"/>
              <w:numPr>
                <w:ilvl w:val="0"/>
                <w:numId w:val="1"/>
              </w:numPr>
              <w:spacing w:before="156" w:beforeLines="50" w:after="156" w:afterLines="50"/>
              <w:ind w:firstLineChars="0"/>
              <w:rPr>
                <w:rFonts w:cs="宋体"/>
                <w:color w:val="333333"/>
                <w:kern w:val="0"/>
                <w:sz w:val="24"/>
                <w:szCs w:val="24"/>
              </w:rPr>
            </w:pPr>
            <w:r>
              <w:rPr>
                <w:rFonts w:hint="eastAsia" w:cs="宋体"/>
                <w:color w:val="333333"/>
                <w:kern w:val="0"/>
                <w:sz w:val="24"/>
                <w:szCs w:val="24"/>
              </w:rPr>
              <w:t>中国猪饲料市场</w:t>
            </w:r>
          </w:p>
          <w:p>
            <w:pPr>
              <w:pStyle w:val="4"/>
              <w:numPr>
                <w:ilvl w:val="0"/>
                <w:numId w:val="2"/>
              </w:numPr>
              <w:spacing w:before="156" w:beforeLines="50" w:after="156" w:afterLines="50"/>
              <w:ind w:firstLineChars="0"/>
              <w:rPr>
                <w:rFonts w:cs="宋体"/>
                <w:color w:val="333333"/>
                <w:kern w:val="0"/>
                <w:sz w:val="24"/>
                <w:szCs w:val="24"/>
              </w:rPr>
            </w:pPr>
            <w:r>
              <w:rPr>
                <w:rFonts w:cs="宋体"/>
                <w:color w:val="333333"/>
                <w:kern w:val="0"/>
                <w:sz w:val="24"/>
                <w:szCs w:val="24"/>
              </w:rPr>
              <w:t>华龙生物</w:t>
            </w:r>
            <w:r>
              <w:rPr>
                <w:rFonts w:hint="eastAsia" w:cs="宋体"/>
                <w:color w:val="333333"/>
                <w:kern w:val="0"/>
                <w:sz w:val="24"/>
                <w:szCs w:val="24"/>
              </w:rPr>
              <w:t>：【0</w:t>
            </w:r>
            <w:r>
              <w:rPr>
                <w:rFonts w:cs="宋体"/>
                <w:color w:val="333333"/>
                <w:kern w:val="0"/>
                <w:sz w:val="24"/>
                <w:szCs w:val="24"/>
              </w:rPr>
              <w:t>-5%</w:t>
            </w:r>
            <w:r>
              <w:rPr>
                <w:rFonts w:hint="eastAsia" w:cs="宋体"/>
                <w:color w:val="333333"/>
                <w:kern w:val="0"/>
                <w:sz w:val="24"/>
                <w:szCs w:val="24"/>
              </w:rPr>
              <w:t>】</w:t>
            </w:r>
          </w:p>
          <w:p>
            <w:pPr>
              <w:pStyle w:val="4"/>
              <w:numPr>
                <w:ilvl w:val="0"/>
                <w:numId w:val="2"/>
              </w:numPr>
              <w:spacing w:before="156" w:beforeLines="50" w:after="156" w:afterLines="50"/>
              <w:ind w:firstLineChars="0"/>
              <w:rPr>
                <w:rFonts w:hint="eastAsia" w:cs="宋体"/>
                <w:color w:val="333333"/>
                <w:kern w:val="0"/>
                <w:sz w:val="24"/>
                <w:szCs w:val="24"/>
              </w:rPr>
            </w:pPr>
            <w:r>
              <w:rPr>
                <w:rFonts w:hint="eastAsia" w:cs="宋体"/>
                <w:color w:val="333333"/>
                <w:kern w:val="0"/>
                <w:sz w:val="24"/>
                <w:szCs w:val="24"/>
                <w:lang w:val="en-US" w:eastAsia="zh-CN"/>
              </w:rPr>
              <w:t>目标公司</w:t>
            </w:r>
            <w:r>
              <w:rPr>
                <w:rFonts w:hint="eastAsia" w:cs="宋体"/>
                <w:color w:val="333333"/>
                <w:kern w:val="0"/>
                <w:sz w:val="24"/>
                <w:szCs w:val="24"/>
              </w:rPr>
              <w:t>：【0</w:t>
            </w:r>
            <w:r>
              <w:rPr>
                <w:rFonts w:cs="宋体"/>
                <w:color w:val="333333"/>
                <w:kern w:val="0"/>
                <w:sz w:val="24"/>
                <w:szCs w:val="24"/>
              </w:rPr>
              <w:t>-5%</w:t>
            </w:r>
            <w:r>
              <w:rPr>
                <w:rFonts w:hint="eastAsia" w:cs="宋体"/>
                <w:color w:val="333333"/>
                <w:kern w:val="0"/>
                <w:sz w:val="24"/>
                <w:szCs w:val="24"/>
              </w:rPr>
              <w:t>】</w:t>
            </w:r>
          </w:p>
          <w:p>
            <w:pPr>
              <w:pStyle w:val="4"/>
              <w:numPr>
                <w:ilvl w:val="0"/>
                <w:numId w:val="1"/>
              </w:numPr>
              <w:spacing w:before="156" w:beforeLines="50" w:after="156" w:afterLines="50"/>
              <w:ind w:firstLineChars="0"/>
              <w:rPr>
                <w:rFonts w:cs="宋体"/>
                <w:color w:val="333333"/>
                <w:kern w:val="0"/>
                <w:sz w:val="24"/>
                <w:szCs w:val="24"/>
              </w:rPr>
            </w:pPr>
            <w:r>
              <w:rPr>
                <w:rFonts w:hint="eastAsia" w:cs="宋体"/>
                <w:color w:val="333333"/>
                <w:kern w:val="0"/>
                <w:sz w:val="24"/>
                <w:szCs w:val="24"/>
              </w:rPr>
              <w:t>中国鸭饲料市场</w:t>
            </w:r>
          </w:p>
          <w:p>
            <w:pPr>
              <w:pStyle w:val="4"/>
              <w:numPr>
                <w:ilvl w:val="0"/>
                <w:numId w:val="2"/>
              </w:numPr>
              <w:spacing w:before="156" w:beforeLines="50" w:after="156" w:afterLines="50"/>
              <w:ind w:firstLineChars="0"/>
              <w:rPr>
                <w:rFonts w:cs="宋体"/>
                <w:color w:val="333333"/>
                <w:kern w:val="0"/>
                <w:sz w:val="24"/>
                <w:szCs w:val="24"/>
              </w:rPr>
            </w:pPr>
            <w:r>
              <w:rPr>
                <w:rFonts w:cs="宋体"/>
                <w:color w:val="333333"/>
                <w:kern w:val="0"/>
                <w:sz w:val="24"/>
                <w:szCs w:val="24"/>
              </w:rPr>
              <w:t>华龙生物</w:t>
            </w:r>
            <w:r>
              <w:rPr>
                <w:rFonts w:hint="eastAsia" w:cs="宋体"/>
                <w:color w:val="333333"/>
                <w:kern w:val="0"/>
                <w:sz w:val="24"/>
                <w:szCs w:val="24"/>
              </w:rPr>
              <w:t>：【0</w:t>
            </w:r>
            <w:r>
              <w:rPr>
                <w:rFonts w:cs="宋体"/>
                <w:color w:val="333333"/>
                <w:kern w:val="0"/>
                <w:sz w:val="24"/>
                <w:szCs w:val="24"/>
              </w:rPr>
              <w:t>-5%</w:t>
            </w:r>
            <w:r>
              <w:rPr>
                <w:rFonts w:hint="eastAsia" w:cs="宋体"/>
                <w:color w:val="333333"/>
                <w:kern w:val="0"/>
                <w:sz w:val="24"/>
                <w:szCs w:val="24"/>
              </w:rPr>
              <w:t>】</w:t>
            </w:r>
          </w:p>
          <w:p>
            <w:pPr>
              <w:pStyle w:val="4"/>
              <w:numPr>
                <w:ilvl w:val="0"/>
                <w:numId w:val="2"/>
              </w:numPr>
              <w:spacing w:before="156" w:beforeLines="50" w:after="156" w:afterLines="50"/>
              <w:ind w:firstLineChars="0"/>
              <w:rPr>
                <w:rFonts w:hint="eastAsia" w:cs="宋体"/>
                <w:color w:val="333333"/>
                <w:kern w:val="0"/>
                <w:sz w:val="24"/>
                <w:szCs w:val="24"/>
              </w:rPr>
            </w:pPr>
            <w:r>
              <w:rPr>
                <w:rFonts w:hint="eastAsia" w:cs="宋体"/>
                <w:color w:val="333333"/>
                <w:kern w:val="0"/>
                <w:sz w:val="24"/>
                <w:szCs w:val="24"/>
                <w:lang w:val="en-US" w:eastAsia="zh-CN"/>
              </w:rPr>
              <w:t>目标公司</w:t>
            </w:r>
            <w:r>
              <w:rPr>
                <w:rFonts w:hint="eastAsia" w:cs="宋体"/>
                <w:color w:val="333333"/>
                <w:kern w:val="0"/>
                <w:sz w:val="24"/>
                <w:szCs w:val="24"/>
              </w:rPr>
              <w:t>：【0</w:t>
            </w:r>
            <w:r>
              <w:rPr>
                <w:rFonts w:cs="宋体"/>
                <w:color w:val="333333"/>
                <w:kern w:val="0"/>
                <w:sz w:val="24"/>
                <w:szCs w:val="24"/>
              </w:rPr>
              <w:t>-5%</w:t>
            </w:r>
            <w:r>
              <w:rPr>
                <w:rFonts w:hint="eastAsia" w:cs="宋体"/>
                <w:color w:val="333333"/>
                <w:kern w:val="0"/>
                <w:sz w:val="24"/>
                <w:szCs w:val="24"/>
              </w:rPr>
              <w:t>】</w:t>
            </w:r>
          </w:p>
          <w:p>
            <w:pPr>
              <w:pStyle w:val="4"/>
              <w:numPr>
                <w:ilvl w:val="0"/>
                <w:numId w:val="1"/>
              </w:numPr>
              <w:spacing w:before="156" w:beforeLines="50" w:after="156" w:afterLines="50"/>
              <w:ind w:firstLineChars="0"/>
              <w:rPr>
                <w:rFonts w:cs="宋体"/>
                <w:color w:val="333333"/>
                <w:kern w:val="0"/>
                <w:sz w:val="24"/>
                <w:szCs w:val="24"/>
              </w:rPr>
            </w:pPr>
            <w:r>
              <w:rPr>
                <w:rFonts w:hint="eastAsia" w:cs="宋体"/>
                <w:color w:val="333333"/>
                <w:kern w:val="0"/>
                <w:sz w:val="24"/>
                <w:szCs w:val="24"/>
              </w:rPr>
              <w:t>中国鸡饲料市场</w:t>
            </w:r>
          </w:p>
          <w:p>
            <w:pPr>
              <w:pStyle w:val="4"/>
              <w:numPr>
                <w:ilvl w:val="0"/>
                <w:numId w:val="3"/>
              </w:numPr>
              <w:spacing w:before="156" w:beforeLines="50" w:after="156" w:afterLines="50"/>
              <w:ind w:firstLineChars="0"/>
              <w:rPr>
                <w:rFonts w:cs="宋体"/>
                <w:color w:val="333333"/>
                <w:kern w:val="0"/>
                <w:sz w:val="24"/>
                <w:szCs w:val="24"/>
              </w:rPr>
            </w:pPr>
            <w:r>
              <w:rPr>
                <w:rFonts w:cs="宋体"/>
                <w:color w:val="333333"/>
                <w:kern w:val="0"/>
                <w:sz w:val="24"/>
                <w:szCs w:val="24"/>
              </w:rPr>
              <w:t>华龙生物</w:t>
            </w:r>
            <w:r>
              <w:rPr>
                <w:rFonts w:hint="eastAsia" w:cs="宋体"/>
                <w:color w:val="333333"/>
                <w:kern w:val="0"/>
                <w:sz w:val="24"/>
                <w:szCs w:val="24"/>
              </w:rPr>
              <w:t>：【0</w:t>
            </w:r>
            <w:r>
              <w:rPr>
                <w:rFonts w:cs="宋体"/>
                <w:color w:val="333333"/>
                <w:kern w:val="0"/>
                <w:sz w:val="24"/>
                <w:szCs w:val="24"/>
              </w:rPr>
              <w:t>-5%</w:t>
            </w:r>
            <w:r>
              <w:rPr>
                <w:rFonts w:hint="eastAsia" w:cs="宋体"/>
                <w:color w:val="333333"/>
                <w:kern w:val="0"/>
                <w:sz w:val="24"/>
                <w:szCs w:val="24"/>
              </w:rPr>
              <w:t>】</w:t>
            </w:r>
          </w:p>
          <w:p>
            <w:pPr>
              <w:pStyle w:val="4"/>
              <w:numPr>
                <w:ilvl w:val="0"/>
                <w:numId w:val="3"/>
              </w:numPr>
              <w:spacing w:before="156" w:beforeLines="50" w:after="156" w:afterLines="50"/>
              <w:ind w:firstLineChars="0"/>
              <w:rPr>
                <w:rFonts w:hint="eastAsia" w:cs="宋体"/>
                <w:color w:val="333333"/>
                <w:kern w:val="0"/>
                <w:sz w:val="24"/>
                <w:szCs w:val="24"/>
              </w:rPr>
            </w:pPr>
            <w:r>
              <w:rPr>
                <w:rFonts w:hint="eastAsia" w:cs="宋体"/>
                <w:color w:val="333333"/>
                <w:kern w:val="0"/>
                <w:sz w:val="24"/>
                <w:szCs w:val="24"/>
                <w:lang w:val="en-US" w:eastAsia="zh-CN"/>
              </w:rPr>
              <w:t>目标公司</w:t>
            </w:r>
            <w:r>
              <w:rPr>
                <w:rFonts w:hint="eastAsia" w:cs="宋体"/>
                <w:color w:val="333333"/>
                <w:kern w:val="0"/>
                <w:sz w:val="24"/>
                <w:szCs w:val="24"/>
              </w:rPr>
              <w:t>：【0</w:t>
            </w:r>
            <w:r>
              <w:rPr>
                <w:rFonts w:cs="宋体"/>
                <w:color w:val="333333"/>
                <w:kern w:val="0"/>
                <w:sz w:val="24"/>
                <w:szCs w:val="24"/>
              </w:rPr>
              <w:t>-5%</w:t>
            </w:r>
            <w:r>
              <w:rPr>
                <w:rFonts w:hint="eastAsia" w:cs="宋体"/>
                <w:color w:val="333333"/>
                <w:kern w:val="0"/>
                <w:sz w:val="24"/>
                <w:szCs w:val="24"/>
              </w:rPr>
              <w:t>】</w:t>
            </w:r>
          </w:p>
        </w:tc>
      </w:tr>
    </w:tbl>
    <w:p>
      <w:pPr>
        <w:snapToGrid w:val="0"/>
        <w:spacing w:before="156" w:beforeLines="50" w:after="156" w:afterLines="50"/>
        <w:jc w:val="left"/>
        <w:rPr>
          <w:sz w:val="24"/>
          <w:szCs w:val="24"/>
        </w:rPr>
      </w:pPr>
    </w:p>
    <w:p>
      <w:pPr>
        <w:snapToGrid w:val="0"/>
        <w:spacing w:before="156" w:beforeLines="50" w:after="156" w:afterLines="50"/>
        <w:jc w:val="left"/>
        <w:rPr>
          <w:sz w:val="24"/>
          <w:szCs w:val="24"/>
        </w:rPr>
      </w:pPr>
      <w:r>
        <w:rPr>
          <w:sz w:val="24"/>
          <w:szCs w:val="24"/>
        </w:rPr>
        <w:t>注解：</w:t>
      </w:r>
    </w:p>
    <w:p>
      <w:pPr>
        <w:snapToGrid w:val="0"/>
        <w:spacing w:before="156" w:beforeLines="50" w:after="156" w:afterLines="50"/>
        <w:ind w:firstLine="480" w:firstLineChars="200"/>
        <w:jc w:val="left"/>
        <w:rPr>
          <w:sz w:val="24"/>
          <w:szCs w:val="24"/>
        </w:rPr>
      </w:pPr>
      <w:r>
        <w:rPr>
          <w:sz w:val="24"/>
          <w:szCs w:val="24"/>
        </w:rPr>
        <w:t>1.申报方申请简易案件的理由是基于1-3项时，须在备注中说明界定的相关商品市场和相关地域市场（无须阐述界定理由），以及相关市场份额；市场份额可以区间形式提供，区间幅度不应超过5%。1-3项可以多选，也可单选；没有勾选的，视为本集中不涉及该类型交易。</w:t>
      </w:r>
    </w:p>
    <w:p>
      <w:pPr>
        <w:spacing w:before="156" w:beforeLines="50" w:after="156" w:afterLines="50"/>
        <w:ind w:firstLine="480" w:firstLineChars="200"/>
        <w:rPr>
          <w:sz w:val="24"/>
          <w:szCs w:val="24"/>
        </w:rPr>
      </w:pPr>
      <w:r>
        <w:rPr>
          <w:sz w:val="24"/>
          <w:szCs w:val="24"/>
        </w:rPr>
        <w:t>2.申报方申请简易案件的理由是基于第4项、第5项时，无须在备注中说明相关市场和市场份额。</w:t>
      </w:r>
    </w:p>
    <w:p>
      <w:pPr>
        <w:spacing w:before="156" w:beforeLines="50" w:after="156" w:afterLines="50"/>
        <w:ind w:firstLine="480" w:firstLineChars="200"/>
        <w:rPr>
          <w:rFonts w:hint="eastAsia"/>
          <w:sz w:val="28"/>
          <w:szCs w:val="28"/>
        </w:rPr>
      </w:pPr>
      <w:r>
        <w:rPr>
          <w:sz w:val="24"/>
          <w:szCs w:val="24"/>
        </w:rPr>
        <w:t>3.由两个或两个以上经营者共同控制的合营企业，通过集中被其中的一个经营者控制，如果该经营者与合营企业属于同一相关市场的竞争者，则申报方在申请简易案件时，须同时勾选第1项和第6项理由，并在备注中说明界定的相关商品市场和相关地域市场（无须阐述界定理由），以及相关市场份额。市场份额可以区间形式提供，区间幅度不应超过5%。</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Wingdings">
    <w:panose1 w:val="05000000000000000000"/>
    <w:charset w:val="00"/>
    <w:family w:val="decorative"/>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F554BC"/>
    <w:multiLevelType w:val="multilevel"/>
    <w:tmpl w:val="00F554BC"/>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1">
    <w:nsid w:val="05C57E0C"/>
    <w:multiLevelType w:val="multilevel"/>
    <w:tmpl w:val="05C57E0C"/>
    <w:lvl w:ilvl="0" w:tentative="0">
      <w:start w:val="1"/>
      <w:numFmt w:val="bullet"/>
      <w:lvlText w:val=""/>
      <w:lvlJc w:val="left"/>
      <w:pPr>
        <w:ind w:left="840" w:hanging="420"/>
      </w:pPr>
      <w:rPr>
        <w:rFonts w:hint="default" w:ascii="Wingdings" w:hAnsi="Wingdings"/>
      </w:rPr>
    </w:lvl>
    <w:lvl w:ilvl="1" w:tentative="0">
      <w:start w:val="1"/>
      <w:numFmt w:val="bullet"/>
      <w:lvlText w:val=""/>
      <w:lvlJc w:val="left"/>
      <w:pPr>
        <w:ind w:left="1260" w:hanging="420"/>
      </w:pPr>
      <w:rPr>
        <w:rFonts w:hint="default" w:ascii="Wingdings" w:hAnsi="Wingdings"/>
      </w:rPr>
    </w:lvl>
    <w:lvl w:ilvl="2" w:tentative="0">
      <w:start w:val="1"/>
      <w:numFmt w:val="bullet"/>
      <w:lvlText w:val=""/>
      <w:lvlJc w:val="left"/>
      <w:pPr>
        <w:ind w:left="1680" w:hanging="420"/>
      </w:pPr>
      <w:rPr>
        <w:rFonts w:hint="default" w:ascii="Wingdings" w:hAnsi="Wingdings"/>
      </w:rPr>
    </w:lvl>
    <w:lvl w:ilvl="3" w:tentative="0">
      <w:start w:val="1"/>
      <w:numFmt w:val="bullet"/>
      <w:lvlText w:val=""/>
      <w:lvlJc w:val="left"/>
      <w:pPr>
        <w:ind w:left="2100" w:hanging="420"/>
      </w:pPr>
      <w:rPr>
        <w:rFonts w:hint="default" w:ascii="Wingdings" w:hAnsi="Wingdings"/>
      </w:rPr>
    </w:lvl>
    <w:lvl w:ilvl="4" w:tentative="0">
      <w:start w:val="1"/>
      <w:numFmt w:val="bullet"/>
      <w:lvlText w:val=""/>
      <w:lvlJc w:val="left"/>
      <w:pPr>
        <w:ind w:left="2520" w:hanging="420"/>
      </w:pPr>
      <w:rPr>
        <w:rFonts w:hint="default" w:ascii="Wingdings" w:hAnsi="Wingdings"/>
      </w:rPr>
    </w:lvl>
    <w:lvl w:ilvl="5" w:tentative="0">
      <w:start w:val="1"/>
      <w:numFmt w:val="bullet"/>
      <w:lvlText w:val=""/>
      <w:lvlJc w:val="left"/>
      <w:pPr>
        <w:ind w:left="2940" w:hanging="420"/>
      </w:pPr>
      <w:rPr>
        <w:rFonts w:hint="default" w:ascii="Wingdings" w:hAnsi="Wingdings"/>
      </w:rPr>
    </w:lvl>
    <w:lvl w:ilvl="6" w:tentative="0">
      <w:start w:val="1"/>
      <w:numFmt w:val="bullet"/>
      <w:lvlText w:val=""/>
      <w:lvlJc w:val="left"/>
      <w:pPr>
        <w:ind w:left="3360" w:hanging="420"/>
      </w:pPr>
      <w:rPr>
        <w:rFonts w:hint="default" w:ascii="Wingdings" w:hAnsi="Wingdings"/>
      </w:rPr>
    </w:lvl>
    <w:lvl w:ilvl="7" w:tentative="0">
      <w:start w:val="1"/>
      <w:numFmt w:val="bullet"/>
      <w:lvlText w:val=""/>
      <w:lvlJc w:val="left"/>
      <w:pPr>
        <w:ind w:left="3780" w:hanging="420"/>
      </w:pPr>
      <w:rPr>
        <w:rFonts w:hint="default" w:ascii="Wingdings" w:hAnsi="Wingdings"/>
      </w:rPr>
    </w:lvl>
    <w:lvl w:ilvl="8" w:tentative="0">
      <w:start w:val="1"/>
      <w:numFmt w:val="bullet"/>
      <w:lvlText w:val=""/>
      <w:lvlJc w:val="left"/>
      <w:pPr>
        <w:ind w:left="4200" w:hanging="420"/>
      </w:pPr>
      <w:rPr>
        <w:rFonts w:hint="default" w:ascii="Wingdings" w:hAnsi="Wingdings"/>
      </w:rPr>
    </w:lvl>
  </w:abstractNum>
  <w:abstractNum w:abstractNumId="2">
    <w:nsid w:val="20F50FC4"/>
    <w:multiLevelType w:val="multilevel"/>
    <w:tmpl w:val="20F50FC4"/>
    <w:lvl w:ilvl="0" w:tentative="0">
      <w:start w:val="1"/>
      <w:numFmt w:val="bullet"/>
      <w:lvlText w:val="q"/>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val="1"/>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rsids>
    <w:rsidRoot w:val="00CB00DF"/>
    <w:rsid w:val="00037065"/>
    <w:rsid w:val="000D3DBF"/>
    <w:rsid w:val="000D7EBA"/>
    <w:rsid w:val="001164CD"/>
    <w:rsid w:val="00155717"/>
    <w:rsid w:val="001837A3"/>
    <w:rsid w:val="003C0AEB"/>
    <w:rsid w:val="004F7688"/>
    <w:rsid w:val="006467D8"/>
    <w:rsid w:val="00694C05"/>
    <w:rsid w:val="006A531B"/>
    <w:rsid w:val="006D610B"/>
    <w:rsid w:val="006F7693"/>
    <w:rsid w:val="00710140"/>
    <w:rsid w:val="007F2275"/>
    <w:rsid w:val="00824679"/>
    <w:rsid w:val="0086787D"/>
    <w:rsid w:val="00915F0F"/>
    <w:rsid w:val="009532DF"/>
    <w:rsid w:val="00997019"/>
    <w:rsid w:val="009A2390"/>
    <w:rsid w:val="009A5029"/>
    <w:rsid w:val="009D38D5"/>
    <w:rsid w:val="00A14CE1"/>
    <w:rsid w:val="00A150A2"/>
    <w:rsid w:val="00A53F26"/>
    <w:rsid w:val="00AA0CC5"/>
    <w:rsid w:val="00B16AFE"/>
    <w:rsid w:val="00B65DD5"/>
    <w:rsid w:val="00BD10B6"/>
    <w:rsid w:val="00BD59BB"/>
    <w:rsid w:val="00C07076"/>
    <w:rsid w:val="00C80B01"/>
    <w:rsid w:val="00CB00DF"/>
    <w:rsid w:val="00CF1659"/>
    <w:rsid w:val="00D73C72"/>
    <w:rsid w:val="00E0592B"/>
    <w:rsid w:val="00E3161D"/>
    <w:rsid w:val="00E31738"/>
    <w:rsid w:val="00E33B74"/>
    <w:rsid w:val="00E86786"/>
    <w:rsid w:val="00ED2F80"/>
    <w:rsid w:val="00EE4EA5"/>
    <w:rsid w:val="00F1624E"/>
    <w:rsid w:val="00F32F8A"/>
    <w:rsid w:val="00F810AA"/>
    <w:rsid w:val="00FA2B96"/>
    <w:rsid w:val="00FB43EC"/>
    <w:rsid w:val="00FB6B40"/>
    <w:rsid w:val="00FF6E46"/>
    <w:rsid w:val="0E694A52"/>
    <w:rsid w:val="3EEB037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3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character" w:default="1" w:styleId="3">
    <w:name w:val="Default Paragraph Font"/>
    <w:unhideWhenUsed/>
    <w:uiPriority w:val="1"/>
  </w:style>
  <w:style w:type="table" w:default="1" w:styleId="2">
    <w:name w:val="Normal Table"/>
    <w:semiHidden/>
    <w:unhideWhenUsed/>
    <w:qFormat/>
    <w:uiPriority w:val="99"/>
    <w:tblPr>
      <w:tblCellMar>
        <w:top w:w="0" w:type="dxa"/>
        <w:left w:w="108" w:type="dxa"/>
        <w:bottom w:w="0" w:type="dxa"/>
        <w:right w:w="108" w:type="dxa"/>
      </w:tblCellMar>
    </w:tblPr>
  </w:style>
  <w:style w:type="paragraph" w:styleId="4">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Pages>
  <Words>214</Words>
  <Characters>1222</Characters>
  <Lines>10</Lines>
  <Paragraphs>2</Paragraphs>
  <TotalTime>5</TotalTime>
  <ScaleCrop>false</ScaleCrop>
  <LinksUpToDate>false</LinksUpToDate>
  <CharactersWithSpaces>1434</CharactersWithSpaces>
  <Application>WPS Office_11.1.0.10314_F1E327BC-269C-435d-A152-05C5408002CA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2018-09-29T02:33:00Z</dcterms:created>
  <dc:creator>陈媚</dc:creator>
  <cp:lastModifiedBy>TY</cp:lastModifiedBy>
  <dcterms:modified xsi:type="dcterms:W3CDTF">2021-03-05T07:35:35Z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2052-11.1.0.10314</vt:lpwstr>
  </property>
</Properties>
</file>