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Style w:val="5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738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案件名称</w:t>
            </w:r>
          </w:p>
        </w:tc>
        <w:tc>
          <w:tcPr>
            <w:tcW w:w="6487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</w:rPr>
              <w:t>沙特阿美发展公司与</w:t>
            </w:r>
            <w:r>
              <w:rPr>
                <w:rFonts w:ascii="Times New Roman" w:hAnsi="Times New Roman"/>
                <w:kern w:val="0"/>
                <w:sz w:val="22"/>
              </w:rPr>
              <w:t>Cognite</w:t>
            </w:r>
            <w:r>
              <w:rPr>
                <w:rFonts w:hint="eastAsia" w:ascii="Times New Roman" w:hAnsi="Times New Roman"/>
                <w:kern w:val="0"/>
                <w:sz w:val="22"/>
              </w:rPr>
              <w:t>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（限200字内）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</w:rPr>
              <w:t>沙特阿美发展公司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（Saudi Aramco Development Company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  <w:lang w:eastAsia="zh-CN"/>
              </w:rPr>
              <w:t>）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与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Cognit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e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有限公司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C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ognite AS）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拟在沙特阿拉伯新设一家合营企业从事工业数字化相关业务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。本交易完成后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，交易双方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将共同控制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该合营企业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经营者简介</w:t>
            </w:r>
          </w:p>
        </w:tc>
        <w:tc>
          <w:tcPr>
            <w:tcW w:w="1738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1、</w:t>
            </w:r>
            <w:r>
              <w:rPr>
                <w:rFonts w:hint="eastAsia" w:ascii="Times New Roman" w:hAnsi="Times New Roman"/>
                <w:kern w:val="0"/>
                <w:sz w:val="22"/>
              </w:rPr>
              <w:t>沙特阿美发展公司</w:t>
            </w:r>
          </w:p>
        </w:tc>
        <w:tc>
          <w:tcPr>
            <w:tcW w:w="4749" w:type="dxa"/>
          </w:tcPr>
          <w:p>
            <w:pPr>
              <w:widowControl/>
              <w:snapToGrid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</w:rPr>
              <w:t>沙特阿美发展公司</w:t>
            </w:r>
            <w:r>
              <w:rPr>
                <w:rFonts w:hint="eastAsia" w:ascii="Times New Roman" w:hAnsi="Times New Roman"/>
                <w:sz w:val="22"/>
              </w:rPr>
              <w:t>是沙特阿拉伯国家石油公司（</w:t>
            </w:r>
            <w:r>
              <w:rPr>
                <w:rFonts w:ascii="Times New Roman" w:hAnsi="Times New Roman"/>
                <w:sz w:val="22"/>
              </w:rPr>
              <w:t>“</w:t>
            </w:r>
            <w:r>
              <w:rPr>
                <w:rFonts w:hint="eastAsia" w:ascii="Times New Roman" w:hAnsi="Times New Roman"/>
                <w:b/>
                <w:sz w:val="22"/>
              </w:rPr>
              <w:t>沙特阿美</w:t>
            </w:r>
            <w:r>
              <w:rPr>
                <w:rFonts w:ascii="Times New Roman" w:hAnsi="Times New Roman"/>
                <w:sz w:val="22"/>
              </w:rPr>
              <w:t>”</w:t>
            </w:r>
            <w:r>
              <w:rPr>
                <w:rFonts w:hint="eastAsia" w:ascii="Times New Roman" w:hAnsi="Times New Roman"/>
                <w:sz w:val="22"/>
              </w:rPr>
              <w:t>）的全资子公司。沙特阿美主要从事勘察、勘探、钻探和提炼碳氢化合物及其相关的加工、制造、提炼和销售。更多相关信息详见</w:t>
            </w:r>
            <w:r>
              <w:fldChar w:fldCharType="begin"/>
            </w:r>
            <w:r>
              <w:instrText xml:space="preserve"> HYPERLINK "https://www.saudiaramco.com/"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/>
                <w:sz w:val="22"/>
              </w:rPr>
              <w:t>https://www.saudiaramco.com/</w:t>
            </w:r>
            <w:r>
              <w:rPr>
                <w:rStyle w:val="7"/>
                <w:rFonts w:ascii="Times New Roman" w:hAnsi="Times New Roman"/>
                <w:sz w:val="22"/>
              </w:rPr>
              <w:fldChar w:fldCharType="end"/>
            </w:r>
            <w:r>
              <w:rPr>
                <w:rFonts w:hint="eastAsia" w:ascii="Times New Roman" w:hAnsi="Times New Roman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1738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2、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Cognit</w:t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e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有限公司</w:t>
            </w:r>
          </w:p>
        </w:tc>
        <w:tc>
          <w:tcPr>
            <w:tcW w:w="4749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Cognite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有限公司</w:t>
            </w:r>
            <w:r>
              <w:rPr>
                <w:rFonts w:hint="eastAsia" w:ascii="Times New Roman" w:hAnsi="Times New Roman"/>
              </w:rPr>
              <w:t>是一家专注于满足工业数字化需求的公司。它通过基于Cognite许可的Cognite Data Fusion平台的成套一体化工业解决方案，为</w:t>
            </w:r>
            <w:r>
              <w:rPr>
                <w:rFonts w:hint="eastAsia"/>
                <w:sz w:val="22"/>
                <w:lang w:val="en-GB"/>
              </w:rPr>
              <w:t>资产密集型行业（主要是石油天然气行业）提供端到端数字化转型服务。更多相关信息详见</w:t>
            </w:r>
            <w:r>
              <w:fldChar w:fldCharType="begin"/>
            </w:r>
            <w:r>
              <w:instrText xml:space="preserve"> HYPERLINK "https://www.cognite.com/en/" </w:instrText>
            </w:r>
            <w:r>
              <w:fldChar w:fldCharType="separate"/>
            </w:r>
            <w:r>
              <w:rPr>
                <w:rStyle w:val="7"/>
                <w:rFonts w:ascii="Times" w:hAnsi="Times" w:cs="Times"/>
                <w:sz w:val="22"/>
                <w:lang w:val="en-GB"/>
              </w:rPr>
              <w:t>https://www.cognite.com/en/</w:t>
            </w:r>
            <w:r>
              <w:rPr>
                <w:rStyle w:val="7"/>
                <w:rFonts w:ascii="Times" w:hAnsi="Times" w:cs="Times"/>
                <w:sz w:val="22"/>
                <w:lang w:val="en-GB"/>
              </w:rPr>
              <w:fldChar w:fldCharType="end"/>
            </w:r>
            <w:r>
              <w:rPr>
                <w:rFonts w:hint="eastAsia"/>
                <w:sz w:val="22"/>
                <w:lang w:val="en-GB"/>
              </w:rPr>
              <w:t>。</w:t>
            </w:r>
            <w:r>
              <w:rPr>
                <w:sz w:val="22"/>
                <w:lang w:val="en-GB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Theme="majorEastAsia"/>
                <w:sz w:val="22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2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ascii="Times New Roman" w:hAnsi="Times New Roman"/>
                <w:color w:val="333333"/>
                <w:kern w:val="0"/>
                <w:sz w:val="22"/>
              </w:rPr>
              <w:t>备注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hint="eastAsia" w:ascii="Times New Roman" w:hAnsi="Times New Roman" w:eastAsia="宋体"/>
                <w:color w:val="333333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olor w:val="333333"/>
                <w:kern w:val="0"/>
                <w:sz w:val="22"/>
              </w:rPr>
              <w:t>相关市场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：沙特阿拉伯工业互联网平台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  <w:lang w:val="en-US" w:eastAsia="zh-CN"/>
              </w:rPr>
              <w:t>市场</w:t>
            </w: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2"/>
              </w:rPr>
            </w:pPr>
            <w:r>
              <w:rPr>
                <w:rFonts w:hint="eastAsia" w:ascii="Times New Roman" w:hAnsi="Times New Roman"/>
                <w:b/>
                <w:color w:val="333333"/>
                <w:kern w:val="0"/>
                <w:sz w:val="22"/>
              </w:rPr>
              <w:t>市场份额</w:t>
            </w:r>
            <w:r>
              <w:rPr>
                <w:rFonts w:hint="eastAsia" w:ascii="Times New Roman" w:hAnsi="Times New Roman"/>
                <w:color w:val="333333"/>
                <w:kern w:val="0"/>
                <w:sz w:val="22"/>
              </w:rPr>
              <w:t>：不适用，</w:t>
            </w:r>
            <w:r>
              <w:rPr>
                <w:rFonts w:hint="eastAsia" w:ascii="Times" w:hAnsi="Times"/>
                <w:sz w:val="22"/>
              </w:rPr>
              <w:t>合营企业不会在中国境内拥有任何业务，并且</w:t>
            </w:r>
            <w:r>
              <w:rPr>
                <w:rFonts w:hint="eastAsia" w:ascii="Times" w:hAnsi="Times"/>
                <w:sz w:val="22"/>
                <w:lang w:val="en-GB"/>
              </w:rPr>
              <w:t>本次交易仅涉及沙特阿拉伯。</w:t>
            </w:r>
          </w:p>
        </w:tc>
      </w:tr>
    </w:tbl>
    <w:p>
      <w:pPr>
        <w:rPr>
          <w:rFonts w:ascii="Times New Roman" w:hAnsi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75667"/>
    <w:rsid w:val="000B7A5A"/>
    <w:rsid w:val="000D7EBA"/>
    <w:rsid w:val="000E34B9"/>
    <w:rsid w:val="000F5BD3"/>
    <w:rsid w:val="0010048D"/>
    <w:rsid w:val="001031AB"/>
    <w:rsid w:val="00115B41"/>
    <w:rsid w:val="001164CD"/>
    <w:rsid w:val="001461BB"/>
    <w:rsid w:val="00155717"/>
    <w:rsid w:val="001837A3"/>
    <w:rsid w:val="001B7841"/>
    <w:rsid w:val="001D1BDC"/>
    <w:rsid w:val="001D4505"/>
    <w:rsid w:val="001E4187"/>
    <w:rsid w:val="001E451B"/>
    <w:rsid w:val="00292ABE"/>
    <w:rsid w:val="002A4976"/>
    <w:rsid w:val="002B7EA6"/>
    <w:rsid w:val="002D6FF0"/>
    <w:rsid w:val="0030547B"/>
    <w:rsid w:val="0031643E"/>
    <w:rsid w:val="00375E19"/>
    <w:rsid w:val="003A62B8"/>
    <w:rsid w:val="003C0AEB"/>
    <w:rsid w:val="003D6C64"/>
    <w:rsid w:val="004118DF"/>
    <w:rsid w:val="00482832"/>
    <w:rsid w:val="0048349A"/>
    <w:rsid w:val="0048781F"/>
    <w:rsid w:val="00496055"/>
    <w:rsid w:val="004B14DA"/>
    <w:rsid w:val="004C5266"/>
    <w:rsid w:val="004F005B"/>
    <w:rsid w:val="004F7688"/>
    <w:rsid w:val="005022BA"/>
    <w:rsid w:val="00526D62"/>
    <w:rsid w:val="00554B02"/>
    <w:rsid w:val="00572E55"/>
    <w:rsid w:val="005835A4"/>
    <w:rsid w:val="005908B9"/>
    <w:rsid w:val="006320B8"/>
    <w:rsid w:val="006467D8"/>
    <w:rsid w:val="006808AE"/>
    <w:rsid w:val="006A531B"/>
    <w:rsid w:val="006B01B0"/>
    <w:rsid w:val="006F7693"/>
    <w:rsid w:val="00710140"/>
    <w:rsid w:val="00710DB6"/>
    <w:rsid w:val="00717A11"/>
    <w:rsid w:val="00770D7C"/>
    <w:rsid w:val="00792C21"/>
    <w:rsid w:val="007C0D5B"/>
    <w:rsid w:val="007F2275"/>
    <w:rsid w:val="00806960"/>
    <w:rsid w:val="008A3A80"/>
    <w:rsid w:val="0090012E"/>
    <w:rsid w:val="00915F0F"/>
    <w:rsid w:val="009532DF"/>
    <w:rsid w:val="00997019"/>
    <w:rsid w:val="009A5029"/>
    <w:rsid w:val="009A67F9"/>
    <w:rsid w:val="009B2358"/>
    <w:rsid w:val="009D38D5"/>
    <w:rsid w:val="009E0F5C"/>
    <w:rsid w:val="00A21782"/>
    <w:rsid w:val="00A53F26"/>
    <w:rsid w:val="00A773CE"/>
    <w:rsid w:val="00AA0CC5"/>
    <w:rsid w:val="00AA5428"/>
    <w:rsid w:val="00AB04BF"/>
    <w:rsid w:val="00AB709D"/>
    <w:rsid w:val="00B16AFE"/>
    <w:rsid w:val="00B20888"/>
    <w:rsid w:val="00B44662"/>
    <w:rsid w:val="00B65DD5"/>
    <w:rsid w:val="00B95957"/>
    <w:rsid w:val="00BD10B6"/>
    <w:rsid w:val="00C07076"/>
    <w:rsid w:val="00C12CA3"/>
    <w:rsid w:val="00C61EC6"/>
    <w:rsid w:val="00C645CC"/>
    <w:rsid w:val="00C81116"/>
    <w:rsid w:val="00C92C3E"/>
    <w:rsid w:val="00CB00DF"/>
    <w:rsid w:val="00CB07DC"/>
    <w:rsid w:val="00CB2E54"/>
    <w:rsid w:val="00CB319D"/>
    <w:rsid w:val="00CD2B20"/>
    <w:rsid w:val="00CE36E4"/>
    <w:rsid w:val="00D45A00"/>
    <w:rsid w:val="00D73C72"/>
    <w:rsid w:val="00DC073B"/>
    <w:rsid w:val="00E0592B"/>
    <w:rsid w:val="00E05B2E"/>
    <w:rsid w:val="00E31738"/>
    <w:rsid w:val="00E8192E"/>
    <w:rsid w:val="00E86786"/>
    <w:rsid w:val="00E93D24"/>
    <w:rsid w:val="00EA3009"/>
    <w:rsid w:val="00EB4B0B"/>
    <w:rsid w:val="00ED2F80"/>
    <w:rsid w:val="00F1624E"/>
    <w:rsid w:val="00F2497C"/>
    <w:rsid w:val="00F32F8A"/>
    <w:rsid w:val="00F336FC"/>
    <w:rsid w:val="00F61028"/>
    <w:rsid w:val="00F62C84"/>
    <w:rsid w:val="00F66970"/>
    <w:rsid w:val="00F810AA"/>
    <w:rsid w:val="00FB43EC"/>
    <w:rsid w:val="00FB6B40"/>
    <w:rsid w:val="00FD62A3"/>
    <w:rsid w:val="07242015"/>
    <w:rsid w:val="162D5640"/>
    <w:rsid w:val="43E556C9"/>
    <w:rsid w:val="52550238"/>
    <w:rsid w:val="6A8B02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</w:p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</w:p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6"/>
    <w:link w:val="4"/>
    <w:qFormat/>
    <w:uiPriority w:val="99"/>
    <w:rPr>
      <w:rFonts w:ascii="Calibri" w:hAnsi="Calibri" w:eastAsia="宋体" w:cs="Times New Roman"/>
    </w:rPr>
  </w:style>
  <w:style w:type="character" w:customStyle="1" w:styleId="9">
    <w:name w:val="Footer Char"/>
    <w:basedOn w:val="6"/>
    <w:link w:val="3"/>
    <w:uiPriority w:val="99"/>
    <w:rPr>
      <w:rFonts w:ascii="Calibri" w:hAnsi="Calibri" w:eastAsia="宋体" w:cs="Times New Roman"/>
    </w:rPr>
  </w:style>
  <w:style w:type="character" w:customStyle="1" w:styleId="10">
    <w:name w:val="Balloon Text Char"/>
    <w:basedOn w:val="6"/>
    <w:link w:val="2"/>
    <w:semiHidden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��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EFE524-DF84-4A18-866A-0051C89DDE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431</Words>
  <Characters>540</Characters>
  <Lines>38</Lines>
  <Paragraphs>27</Paragraphs>
  <TotalTime>1</TotalTime>
  <ScaleCrop>false</ScaleCrop>
  <LinksUpToDate>false</LinksUpToDate>
  <CharactersWithSpaces>944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2021-03-23T13:28:00Z</dcterms:created>
  <dcterms:modified xsi:type="dcterms:W3CDTF">2021-04-22T09:31:24Z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pCombinedRef">
    <vt:lpwstr>0030589-0000201 EUO3: 2003633355.1</vt:lpwstr>
  </property>
  <property fmtid="{D5CDD505-2E9C-101B-9397-08002B2CF9AE}" pid="12" name="Client">
    <vt:lpwstr>0030589</vt:lpwstr>
  </property>
  <property fmtid="{D5CDD505-2E9C-101B-9397-08002B2CF9AE}" pid="13" name="Matter">
    <vt:lpwstr>0000201</vt:lpwstr>
  </property>
  <property fmtid="{D5CDD505-2E9C-101B-9397-08002B2CF9AE}" pid="14" name="cpClientMatter">
    <vt:lpwstr>0030589-0000201</vt:lpwstr>
  </property>
  <property fmtid="{D5CDD505-2E9C-101B-9397-08002B2CF9AE}" pid="15" name="cpDocRef">
    <vt:lpwstr>EUO3: 2003633355.1</vt:lpwstr>
  </property>
  <property fmtid="{D5CDD505-2E9C-101B-9397-08002B2CF9AE}" pid="16" name="KSOProductBuildVer">
    <vt:lpwstr>2052-11.1.0.10356</vt:lpwstr>
  </property>
  <property fmtid="{D5CDD505-2E9C-101B-9397-08002B2CF9AE}" pid="17" name="ICV">
    <vt:lpwstr>604C528BD6EA4C7CA6B5816D3620E144</vt:lpwstr>
  </property>
</Properties>
</file>